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5A_383/2025 vom 24. Juni 2025</w:t>
      </w:r>
    </w:p>
    <w:p>
      <w:r>
        <w:t>Bundesgericht, 2025-06-24, DE</w:t>
      </w:r>
    </w:p>
    <w:p>
      <w:r>
        <w:rPr>
          <w:b/>
        </w:rPr>
        <w:t xml:space="preserve">Quelle: </w:t>
      </w:r>
      <w:r>
        <w:t>https://mcp.opencaselaw.ch/entscheid/bger_5A_383_2025</w:t>
      </w:r>
    </w:p>
    <w:p>
      <w:r>
        <w:t>FR: TF 5A_383/2025 du 24 juin 2025</w:t>
      </w:r>
    </w:p>
    <w:p>
      <w:r>
        <w:t>IT: TF 5A_383/2025 del 24 giugno 2025</w:t>
      </w:r>
    </w:p>
    <w:p>
      <w:pPr>
        <w:pStyle w:val="Heading2"/>
      </w:pPr>
      <w:r>
        <w:t>Erwägungen</w:t>
      </w:r>
    </w:p>
    <w:p>
      <w:r>
        <w:rPr>
          <w:b/>
        </w:rPr>
        <w:t>E. 1</w:t>
      </w:r>
    </w:p>
    <w:p>
      <w:r>
        <w:t>Angefochten ist ein kantonal letztinstanzlicher Rückweisungsentscheid in einer erwachsenenschutzrechtlichen Angelegenheit ( Art. 72 Abs. 1 und Art. 75 Abs. 1 BGG ). Der Rückweisungsentscheid führt zu keinem Verfahrensabschluss und ist daher ein Zwischenentscheid ( BGE 144 III 253 E. 1.3; 144 IV 321 E. 2.3). Als Zwischenentscheid ist er nur unter den besonderen Voraussetzungen von Art. 93 Abs. 1 BGG sofort mit Beschwerde in Zivilsachen anfechtbar ( BGE 145 III 42 E. 2.1; 148 IV 155 E. 1.1). Diese restriktiv zu handhabenden Voraussetzungen sind in der Beschwerde im Einzelnen darzulegen ( BGE 144 III 475 E. 1.2; 150 III 248 E. 1.2). Es bleibt die Möglichkeit, im Anschluss an den aufgrund des Rückweisungsentscheides neu ergehenden Endentscheides an das Bundesgericht zu gelangen ( Art. 93 Abs. 3 BGG ). Grundgedanke dabei ist, dass das Bundesgericht sich soweit möglich nur einmal mit der gleichen Sache befassen soll ( BGE 144 III 475 E. 1.2; 148 IV 155 E. 1.1).</w:t>
      </w:r>
    </w:p>
    <w:p>
      <w:r>
        <w:rPr>
          <w:b/>
        </w:rPr>
        <w:t>E. 2</w:t>
      </w:r>
    </w:p>
    <w:p>
      <w:r>
        <w:t>In der Beschwerde werden die besonderen Voraussetzungen nach Art. 93 Abs. 1 BGG dahingehend begründet, dass gemäss dem Rückweisungsentscheid zahlreiche nahestehende Personen zu befragen und medizinische Berichte einzuholen sein werden. Es gehe mithin um aufwändige Abklärungen, die hohe Kosten verursachen und sich negativ auf das Wohlbefinden des Beschwerdeführers auswirken würden. Dieser fühle sich wohl und sei gut umsorgt und betreut. Abgesehen davon sei der parallele Beschluss, mit welchem der spätere Vorsorgeauftrag zugunsten der Tochter validiert worden sei, längst rechtskräftig und diese somit verbindlich als Vorsorgebeauftragte eingesetzt.</w:t>
      </w:r>
    </w:p>
    <w:p>
      <w:r>
        <w:t>Mit diesen Ausführungen wird kein nicht wieder gutzumachender Nachteil dargelegt. Abgesehen davon, dass der an Demenz leidende Beschwerdeführer von der Befragung nahestehender Personen und der Einholung medizinischer Berichte kaum etwas mitbekommen dürfte, ist nicht zu sehen, inwiefern der neu zu treffende KESB-Entscheid Nachteile zeitigen könnte, die sich nicht wiedergutmachen liessen, wird doch gegen den betreffenden Entscheid, wie immer er ausfällt, umfassend der Rechtsmittelzug offen stehen.</w:t>
      </w:r>
    </w:p>
    <w:p>
      <w:r>
        <w:t>Im Übrigen hat das Verwaltungsgericht festgehalten, die KESB habe nicht ansatzweise begründet, aufgrund welcher Abklärungen sie zum Schluss gekommen sei, dass der Beschwerdeführer am 18. Februar 2023 bzw. am 1. Februar 2024 noch urteilsfähig gewesen wäre, und die Verletzung der Abklärungspflicht sei augenfällig, denn angesichts der aktenkundigen Berichte und Zeugnisse (Austrittsbericht des Spitals Einsiedeln vom 16. Dezember 2022, wonach deutliche Anzeichen für eine eingeschränkte Urteilsfähigkeit bestanden; Arztzeugnis vom 22. November 2023; Arztzeugnis vom 2. September 2024, welches die vollständige Urteilsfähigkeit bestätige) hätte die KESB es nicht bei einem blossen Verweis auf die öffentliche Beurkundung des Vorsorgeauftrages vom 2. Februar 2024 bewenden lassen dürfen.</w:t>
      </w:r>
    </w:p>
    <w:p>
      <w:r>
        <w:t>Der Beschwerdeführer wirft dem Verwaltungsgericht in diesem Kontext eine Gehörsverletzung dahingehend vor, dass es aufgrund des Tonfalls der Erwägungen Partei ergriffen habe. Indes ist der angefochtene Entscheid neutral redigiert worden und aus dem blossen Umstand, dass das Verwaltungsgericht den Standpunkt des Beschwerdeführers bzw. der Tochter nicht teilt, liesse sich keine Rechts- oder Gehörsverletzung ableiten, umso weniger als es in der Natur der Sache liegt, dass ein Gericht nicht gleichzeitig den konträren Standpunkten beider Parteien folgen kann.</w:t>
      </w:r>
    </w:p>
    <w:p>
      <w:r>
        <w:t>Schliesslich hat das Verwaltungsgericht zum Vorbringen, die Tochter sei zwischenzeitlich rechtskräftig als Vorsorgebeauftragte eingesetzt, erwogen, dass dieser Umstand nicht das Interesse der Lebenspartnerin an der kantonalen Beschwerde entfallen lasse, sondern die KESB im Fall der Feststellung der Ungültigkeit des Vorsorgeauftrages vom 18. Februar 2023 bzw. vom 1. Februar 2024 ihren diesbezüglichen Validierungsbeschluss von Amtes wegen in Wiedererwägung ziehen müsste. Wenn beschwerdeweise der Verweis auf die Rechtskraft der Einsetzung der Tochter wiederholt wird, liegt darin keine hinreichende Auseinandersetzung mit den Erwägungen des angefochtenen Entscheides. Ohnehin betrifft diese Frage nicht in erster Linie die Rückweisung als solche, sondern vielmehr die Folgen, die sich aus einer Neubeurteilung ergeben könnten.</w:t>
      </w:r>
    </w:p>
    <w:p>
      <w:r>
        <w:t>Die weiteren Ausführungen zur Eignung der Tochter, zur fehlenden Eignung der Lebenspartnerin und zu den Hintergrund bildenden Zwistigkeiten betreffen ausschliesslich die zugrunde liegende Sache. Darauf könnte, selbst wenn im Zusammenhang mit der Rückweisung entgegen dem Gesagten ein nicht wiedergutzumachender Nachteil zu bejahen wäre, von vornherein nicht eingetreten werden, insbesondere nicht auf die Noven (vgl. Art. 99 Abs. 1 BGG ), welche die fehlende Eignung der Lebenspartnerin belegen sollen.</w:t>
      </w:r>
    </w:p>
    <w:p>
      <w:r>
        <w:rPr>
          <w:b/>
        </w:rPr>
        <w:t>E. 3</w:t>
      </w:r>
    </w:p>
    <w:p>
      <w:r>
        <w:t>Nach dem Gesagten ist die Beschwerde abzuweisen, soweit darauf einzutreten ist.</w:t>
      </w:r>
    </w:p>
    <w:p>
      <w:r>
        <w:t>Mit dem (im Interesse einer raschen Abklärung der Urteilsfähigkeit des Beschwerdeführers im Zeitpunkt der Errichtung der weiteren Vorsorgeaufträge) sofort erfolgenden Urteil wird das Gesuch um aufschiebende Wirkung gegenstandslos. Ohnehin wäre es aus den gleichen Gründen abzuweisen gewesen.</w:t>
      </w:r>
    </w:p>
    <w:p>
      <w:r>
        <w:rPr>
          <w:b/>
        </w:rPr>
        <w:t>E. 4</w:t>
      </w:r>
    </w:p>
    <w:p>
      <w:r>
        <w:t>Die Gerichtskosten sind dem Beschwerdeführer aufzuerlegen ( Art. 66 Abs. 1 BGG ) und dieser hat die Beschwerdegegnerin für deren Stellungnahme zum Gesuch um aufschiebende Wirkung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