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383/2018 vom 8. Mai 2018</w:t>
      </w:r>
    </w:p>
    <w:p>
      <w:r>
        <w:t>Bundesgericht, 2018-05-08, DE</w:t>
      </w:r>
    </w:p>
    <w:p>
      <w:r>
        <w:rPr>
          <w:b/>
        </w:rPr>
        <w:t xml:space="preserve">Quelle: </w:t>
      </w:r>
      <w:r>
        <w:t>https://mcp.opencaselaw.ch/entscheid/bger_5A_383_2018</w:t>
      </w:r>
    </w:p>
    <w:p>
      <w:r>
        <w:t>FR: TF 5A 383/2018 du 8 mai 2018</w:t>
      </w:r>
    </w:p>
    <w:p>
      <w:r>
        <w:t>IT: TF 5A 383/2018 del 8 maggio 2018</w:t>
      </w:r>
    </w:p>
    <w:p>
      <w:pPr>
        <w:pStyle w:val="Heading2"/>
      </w:pPr>
      <w:r>
        <w:t>Regeste</w:t>
      </w:r>
    </w:p>
    <w:p>
      <w:r>
        <w:t>vorsorgliche Massnahmen (Ausstand / Rechtsverzögerung / Rechtsverweigerung) | Familienrecht</w:t>
      </w:r>
    </w:p>
    <w:p>
      <w:pPr>
        <w:pStyle w:val="Heading2"/>
      </w:pPr>
      <w:r>
        <w:t>Erwägungen</w:t>
      </w:r>
    </w:p>
    <w:p>
      <w:r>
        <w:rPr>
          <w:b/>
        </w:rPr>
        <w:t>E. 1</w:t>
      </w:r>
    </w:p>
    <w:p>
      <w:r>
        <w:t>In der gleichen Eingabe wird sowohl gegen den vorgenannten im Massnahmeverfahren als auch gegen den mit gleichem Datum im Scheidungsverfahren ergangenen obergerichtlichen Entscheid Beschwerde erhoben (paralleles Verfahren 5A_382/2018). Dies ist zulässig, weil die Beschwerden klar voneinander getrennt werden. Soweit eine zusätzliche Eingabefrist verlangt wird, ist festzuhalten, dass die 30-tägige Beschwerdefrist ( Art. 100 Abs. 1 BGG ) als gesetzliche Frist nicht erstreckt werden kann ( Art. 47 Abs. 1 BGG ) und die Beschwerde am letzten Tag der Frist der Post übergeben worden ist.</w:t>
      </w:r>
    </w:p>
    <w:p>
      <w:r>
        <w:rPr>
          <w:b/>
        </w:rPr>
        <w:t>E. 2</w:t>
      </w:r>
    </w:p>
    <w:p>
      <w:r>
        <w:t>Bei vorsorglichen Massnahmen kann einzig eine Verletzung verfassungsmässiger Rechte geltend gemacht werden ( Art. 98 BGG ), wofür das strenge Rügeprinzip gilt ( Art. 106 Abs. 2 BGG ). Die Beschwerdeführerin äussert sich einzig in appellatorischer Weise. Weder zeigt sie verfassungsmässige Rechte auf, welche verletzt sein sollen, noch entsprechen ihre Ausführungen inhaltlich den Anforderungen, wie sie sich aus dem Rügeprinzip ergeben (vgl. dazu BGE 134 II 244 E. 2.2 S. 246 ; 141 I 36 E. 1.3 S. 41; 142 II 369 E. 2.1 S. 372; 142 III 364 E. 2.4 S. 368).</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