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381/2018 vom 8. Mai 2018</w:t>
      </w:r>
    </w:p>
    <w:p>
      <w:r>
        <w:t>Bundesgericht, 2018-05-08, DE</w:t>
      </w:r>
    </w:p>
    <w:p>
      <w:r>
        <w:rPr>
          <w:b/>
        </w:rPr>
        <w:t xml:space="preserve">Quelle: </w:t>
      </w:r>
      <w:r>
        <w:t>https://mcp.opencaselaw.ch/entscheid/bger_5A_381_2018</w:t>
      </w:r>
    </w:p>
    <w:p>
      <w:r>
        <w:t>FR: TF 5A 381/2018 du 8 mai 2018</w:t>
      </w:r>
    </w:p>
    <w:p>
      <w:r>
        <w:t>IT: TF 5A 381/2018 del 8 maggio 2018</w:t>
      </w:r>
    </w:p>
    <w:p>
      <w:pPr>
        <w:pStyle w:val="Heading2"/>
      </w:pPr>
      <w:r>
        <w:t>Regeste</w:t>
      </w:r>
    </w:p>
    <w:p>
      <w:r>
        <w:t>Fürsorgerische Unterbringung | Familienrecht</w:t>
      </w:r>
    </w:p>
    <w:p>
      <w:pPr>
        <w:pStyle w:val="Heading2"/>
      </w:pPr>
      <w:r>
        <w:t>Erwägungen</w:t>
      </w:r>
    </w:p>
    <w:p>
      <w:r>
        <w:rPr>
          <w:b/>
        </w:rPr>
        <w:t>E. 1</w:t>
      </w:r>
    </w:p>
    <w:p>
      <w:r>
        <w:t>Angefochten ist der kantonal letztinstanzliche Entscheid betreffend fürsorgerische Unterbringung; die Beschwerde in Zivilsachen steht offen (Art. 72 Abs. 2 lit. b Ziff. 6, Art. 75 Abs. 1 und Art. 90 BGG ).</w:t>
      </w:r>
    </w:p>
    <w:p>
      <w:r>
        <w:rPr>
          <w:b/>
        </w:rPr>
        <w:t>E. 2</w:t>
      </w:r>
    </w:p>
    <w:p>
      <w:r>
        <w:t>Indes ist nach Art. 76 Abs. 1 lit. b BGG zur Beschwerde nur berechtigt, wer ein schutzwürdiges Interesse an der Aufhebung oder Änderung des angefochtenen Entscheides hat. Die Beschwerdebefugnis setzt ein aktuelles und praktisches Interesse an der Gutheissung der Beschwerde voraus, das im Zeitpunkt des bundesgerichtlichen Urteils noch vorhanden sein muss (vgl. BGE 131 I 153 E. 1.2 S. 157). Dies gilt auch für den Bereich der fürsorgerischen Unterbringung (Urteile 5A_118/2017 vom 7. März 2017 E. 3.1; 5A_897/2017 vom 14. November E. 2). Ein solches Interesse an der Beurteilung der fürsorgerischen Unterbringung fehlt nicht erst heute, sondern es war bereits bei Beschwerdeeinreichung nicht gegeben, nachdem in jenem Zeitpunkt die Entlassung aus der Klinik bereits erfolgt war.</w:t>
      </w:r>
    </w:p>
    <w:p>
      <w:r>
        <w:rPr>
          <w:b/>
        </w:rPr>
        <w:t>E. 3</w:t>
      </w:r>
    </w:p>
    <w:p>
      <w:r>
        <w:t>Die Beschwerdeführerin scheint sich in ihren (nur schwer verständlichen) Ausführungen denn auch vielmehr zur Nachbetreuung zu äussern. Diese war indes nicht Gegenstand des angefochtenen Entscheides und die Beschwerde kann nicht über dessen Inhalt hinausgehen ( BGE 136 V 362 E. 3.4.2 S. 365; Urteil 5A_761/2016 vom 20. Juni 2017 E. 2.2.3).</w:t>
      </w:r>
    </w:p>
    <w:p>
      <w:r>
        <w:rPr>
          <w:b/>
        </w:rPr>
        <w:t>E. 4</w:t>
      </w:r>
    </w:p>
    <w:p>
      <w:r>
        <w:t>Nach dem Gesagten erweist sich die Beschwerde als offensichtlich unzulässig, weshalb auf sie nicht eingetreten werden kann und der Präsident im vereinfachten Verfahren entscheidet ( Art. 108 Abs. 1 lit. a BGG ).</w:t>
      </w:r>
    </w:p>
    <w:p>
      <w:r>
        <w:rPr>
          <w:b/>
        </w:rPr>
        <w:t>E. 5</w:t>
      </w:r>
    </w:p>
    <w:p>
      <w:r>
        <w:t>Angesichts der konkreten Umstände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