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381/2016 vom 23. Dezember 2016</w:t>
      </w:r>
    </w:p>
    <w:p>
      <w:r>
        <w:t>Bundesgericht, 2016-12-23, DE</w:t>
      </w:r>
    </w:p>
    <w:p>
      <w:r>
        <w:rPr>
          <w:b/>
        </w:rPr>
        <w:t xml:space="preserve">Quelle: </w:t>
      </w:r>
      <w:r>
        <w:t>https://mcp.opencaselaw.ch/entscheid/bger_5A_381_2016</w:t>
      </w:r>
    </w:p>
    <w:p>
      <w:r>
        <w:t>FR: TF 5A 381/2016 du 23 décembre 2016</w:t>
      </w:r>
    </w:p>
    <w:p>
      <w:r>
        <w:t>IT: TF 5A 381/2016 del 23 dicembre 2016</w:t>
      </w:r>
    </w:p>
    <w:p>
      <w:pPr>
        <w:pStyle w:val="Heading2"/>
      </w:pPr>
      <w:r>
        <w:t>Regeste</w:t>
      </w:r>
    </w:p>
    <w:p>
      <w:r>
        <w:t>vorsorgliche Massnahmen (Obhutsentzug, Ehescheidung) | Familienrecht</w:t>
      </w:r>
    </w:p>
    <w:p>
      <w:pPr>
        <w:pStyle w:val="Heading2"/>
      </w:pPr>
      <w:r>
        <w:t>Erwägungen</w:t>
      </w:r>
    </w:p>
    <w:p>
      <w:r>
        <w:rPr>
          <w:b/>
        </w:rPr>
        <w:t>E. 1</w:t>
      </w:r>
    </w:p>
    <w:p>
      <w:r>
        <w:t>Angefochten ist der kantonal letztinstanzliche Entscheid über eine vorsorgliche Massnahme in einer Zivilsache. Dagegen ist die Beschwerde in Zivilsachen grundsätzlich möglich ( Art. 72 Abs. 1, Art. 75 Abs. 1 und Art. 90 BGG ), aber es können nur verfassungsmässige Rechte als verletzt angerufen werden ( Art. 98 BGG ), wofür das strenge Rügeprinzip im Sinn von Art. 106 Abs. 2 BGG gilt. Das bedeutet, dass das Bundesgericht nur klar und detailliert erhobene Verfassungsrügen prüft, während es auf ungenügend substanziierte Rügen und rein appellatorische Kritik am angefochtenen Entscheid nicht eintritt ( BGE 140 III 264 E. 2.3 S. 266).</w:t>
      </w:r>
    </w:p>
    <w:p>
      <w:r>
        <w:rPr>
          <w:b/>
        </w:rPr>
        <w:t>E. 2</w:t>
      </w:r>
    </w:p>
    <w:p>
      <w:r>
        <w:t>Der angefochtene Entscheid regelt die Situation bis zum 27. Mai 2016. Inwiefern heute noch ein schutzwürdiges Interesse im Sinn von Art. 76 Abs. 1 lit. b BGG besteht - welches voraussetzt, dass im Zeitpunkt des bundesgerichtlichen Entscheides nach wie vor ein aktuelles und praktisches Interesse an der Gutheissung der Beschwerde besteht ( BGE 139 I 206 E. 1.1 S. 208; 140 III 92 E. 1.1 S. 93 f.) - kann offen bleiben, weil die Beschwerdeführerin sich nicht ansatzweise mit dem angefochtenen Entscheid auseinandersetzt, sondern einzig die beiden Gutachten als falsch und menschenrechtswidrig kritisiert, wobei die Gutachten in ihren Augen gegen eine ganze Reihe von Verfassungsnormen verstossen (Art. 2, 9, 11, 12, 13, 14, 16, 18, 19, 24 und 27 UN-Kinderrechtskonvention; Art. 3, 6, 8, 10, 12, 13 und 14 EMRK), welche die Beschwerdeführerin in ihrem Wortlaut aufführt, ohne jedoch einen konkreten Bezug zur Sache herzustellen. Anfechtungsobjekt der vorliegend zu beurteilenden Beschwerde kann nicht ein Gutachten, sondern einzig der gestützt darauf gefällte kantonal letztinstanzliche Entscheid sein ( Art. 75 Abs. 1 BGG ). Zu diesem äussert sich die Beschwerdeführerin wie gesagt nicht und sie zeigt insbesondere nicht auf, inwiefern der obergerichtliche Entscheid gegen verfassungsmässige Rechte verstossen soll. Als sinngemäss gegen den angefochtenen Entscheid gerichtet könnte höchstens der Satz betrachtet werden, wonach weder für den Obhutsentzug noch für die Kontaktsperre Gründe ersichtlich seien, welche für das Wohl der Kinder sprächen. Das Obergericht hat indes im angefochtenen Entscheid vom 21. April 2016 unter Verweis insbesondere auf das Gutachten der Psychiatrischen Dienste V.________ vom 11. Dezember 2015 dargelegt, wieso eine mehrmonatige Kontaktsperre für das Wohl der Kinder unabdingbar war (die Mutter sei von starken Überzeugungen und einem ausgeprägten dichotomen Denken geleitet, welches sie auf ihre Kinder übertrage, was als anhaltende psychische Misshandlung der Kinder zu werten sei und bei diesen zu extremen und potentiell selbstschädigenden Überzeugungen hinsichtlich schuldmedizinischer Behandlung und Ernährung führe, wobei die Mutter ihre extreme Kontrolle über die Kinder nicht aus Böswilligkeit, sondern als Folge ihrer eigenen psychischen Probleme ausübe). Zur Begründung kann vorliegend im Einzelnen auf den ausführlichen obergerichtlichen Entscheid verwiesen werden ( Art. 109 Abs. 3 BGG ).</w:t>
      </w:r>
    </w:p>
    <w:p>
      <w:r>
        <w:rPr>
          <w:b/>
        </w:rPr>
        <w:t>E. 3</w:t>
      </w:r>
    </w:p>
    <w:p>
      <w:r>
        <w:t>Die Beschwerde erweist sich als offensichtlich unbegründet und ist deshalb im vereinfachten Verfahren abzuweisen, soweit darauf überhaupt eingetreten werden kann ( Art. 109 Abs. 2 lit. a BGG ). Ergänzend ist festzuhalten, dass das Bundesgericht nicht zur Anhebung von Strafverfahren zuständig ist. Das Gesuch um unentgeltliche Rechtspflege wurde nicht begründet, d.h. die formellen Voraussetzungen der unentgeltliche Rechtspflege sind im Gesuch nicht dargelegt; sodann muss die Beschwerde als von Anfang an aussichtslos betrachtet werden, weshalb es auch an den materiellen Voraussetzungen der unentgeltlichen Rechtspflege fehlt. Mithin ist das entsprechende Gesuch abzuweisen ( Art. 64 Abs. 1 BGG ). Angesichts der konkreten Umstände rechtfertigt es sich aber, keine Gerichtskosten zu erheben ( Art. 66 Abs. 1 BGG ). Der Gegenpartei und den Verfahrensbeteiligten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