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5A_380/2020 vom 25. Mai 2020</w:t>
      </w:r>
    </w:p>
    <w:p>
      <w:r>
        <w:t>Bundesgericht, 2020-05-25, IT</w:t>
      </w:r>
    </w:p>
    <w:p>
      <w:r>
        <w:rPr>
          <w:b/>
        </w:rPr>
        <w:t xml:space="preserve">Quelle: </w:t>
      </w:r>
      <w:r>
        <w:t>https://mcp.opencaselaw.ch/entscheid/bger_5A_380_2020</w:t>
      </w:r>
    </w:p>
    <w:p>
      <w:r>
        <w:t>FR: TF 5A_380/2020 du 25 mai 2020</w:t>
      </w:r>
    </w:p>
    <w:p>
      <w:r>
        <w:t>IT: TF 5A_380/2020 del 25 maggio 2020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Mediante sentenza 8 maggio 2020 la Camera di esecuzione e fallimenti del Tribunale d'appello del Cantone Ticino, quale autorità di vigilanza, ha dichiarato irricevibile il ricorso interposto da A.________ contro il pignoramento del suo salario eseguito il 30 luglio 2019 dall'Ufficio di esecuzione di Lugano e il relativo verbale di pignoramento del 29 ottobre 2019. L'autorità di vigilanza ha osservato che il rimedio non conteneva né proposte di giudizio né motivazione.</w:t>
      </w:r>
    </w:p>
    <w:p>
      <w:r>
        <w:rPr>
          <w:b/>
        </w:rPr>
        <w:t>E. 2</w:t>
      </w:r>
    </w:p>
    <w:p>
      <w:r>
        <w:t>Con scritto 18 maggio 2020 A.________ ha impugnato la sentenza 8 maggio 2020 dinanzi al Tribunale federale.</w:t>
      </w:r>
    </w:p>
    <w:p>
      <w:r>
        <w:t>Non sono state chieste determinazioni.</w:t>
      </w:r>
    </w:p>
    <w:p>
      <w:r>
        <w:rPr>
          <w:b/>
        </w:rPr>
        <w:t>E. 3</w:t>
      </w:r>
    </w:p>
    <w:p>
      <w:r>
        <w:t>L'atto ricorsuale al Tribunale federale deve contenere le conclusioni ed i motivi ( art. 42 cpv. 1 LTF ). Nei motivi il ricorrente deve spiegare, confrontandosi con i considerandi della sentenza impugnata, perché quest'ultima leda il diritto ( art. 42 cpv. 2 LTF ; DTF 143 II 283 consid. 1.2.2; 142 III 364 consid. 2.4). Per le violazioni di diritti fondamentali e di disposizioni di diritto cantonale e intercantonale le esigenze di motivazione sono più severe: il ricorrente deve indicare i diritti ritenuti lesi e spiegare, con un'argomentazione puntuale e precisa attinente alla sentenza impugnata, in cosa consista la violazione ( art. 106 cpv. 2 LTF ; DTF 143 II 283 consid. 1.2.2; 142 III 364 consid. 2.4).</w:t>
      </w:r>
    </w:p>
    <w:p>
      <w:r>
        <w:t>Il rimedio qui discusso non contiene alcuna proposta di giudizio. Inoltre, esso non soddisfa le esigenze di motivazione degli art. 42 cpv. 2 e 106 cpv. 2 LTF, siccome omette di misurarsi con l'argomentazione posta a fondamento del giudizio cantonale di irricevibilità.</w:t>
      </w:r>
    </w:p>
    <w:p>
      <w:r>
        <w:rPr>
          <w:b/>
        </w:rPr>
        <w:t>E. 4</w:t>
      </w:r>
    </w:p>
    <w:p>
      <w:r>
        <w:t>Da quanto precede discende che il ricorso, manifestamente inammissibile e manifestamente non motivato in modo sufficiente, può essere deciso nella procedura semplificata dell' art. 108 cpv. 1 lett. a-b LTF .</w:t>
      </w:r>
    </w:p>
    <w:p>
      <w:r>
        <w:t>Nel caso concreto si può rinunciare al prelievo di spese giudiziarie (art. 66 cpv. 1 seconda frase LTF).</w:t>
      </w:r>
    </w:p>
    <w:p>
      <w:r>
        <w:t>Per questi motivi, la Giudice presidente pronuncia:</w:t>
      </w:r>
    </w:p>
    <w:p>
      <w:r>
        <w:t>1.</w:t>
      </w:r>
    </w:p>
    <w:p>
      <w:r>
        <w:t>Il ricorso è inammissibile.</w:t>
      </w:r>
    </w:p>
    <w:p>
      <w:r>
        <w:t>2.</w:t>
      </w:r>
    </w:p>
    <w:p>
      <w:r>
        <w:t>Non si prelevano spese giudiziarie.</w:t>
      </w:r>
    </w:p>
    <w:p>
      <w:r>
        <w:t>3.</w:t>
      </w:r>
    </w:p>
    <w:p>
      <w:r>
        <w:t>Comunicazione al ricorrente, all'Ufficio di esecuzione di Lugano e alla Camera di esecuzione e fallimenti del Tribunale d'appello del Cantone Ticino, quale autorità di vigilanza.</w:t>
      </w:r>
    </w:p>
    <w:p>
      <w:r>
        <w:t>Losanna, 25 maggio 2020</w:t>
      </w:r>
    </w:p>
    <w:p>
      <w:r>
        <w:t>In nome della II Corte di diritto civile</w:t>
      </w:r>
    </w:p>
    <w:p>
      <w:r>
        <w:t>del Tribunale federale svizzero</w:t>
      </w:r>
    </w:p>
    <w:p>
      <w:r>
        <w:t>La Giudice presidente: Escher</w:t>
      </w:r>
    </w:p>
    <w:p>
      <w:r>
        <w:t>La Cancelliera: Antonini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