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5A_37/2023 vom 3. Oktober 2023</w:t>
      </w:r>
    </w:p>
    <w:p>
      <w:r>
        <w:t>Bundesgericht, 2023-10-03, FR</w:t>
      </w:r>
    </w:p>
    <w:p>
      <w:r>
        <w:rPr>
          <w:b/>
        </w:rPr>
        <w:t xml:space="preserve">Quelle: </w:t>
      </w:r>
      <w:r>
        <w:t>https://mcp.opencaselaw.ch/entscheid/bger_5A_37_2023</w:t>
      </w:r>
    </w:p>
    <w:p>
      <w:r>
        <w:t>FR: TF 5A_37/2023 du 3 octobre 2023</w:t>
      </w:r>
    </w:p>
    <w:p>
      <w:r>
        <w:t>IT: TF 5A_37/2023 del 3 ottobre 2023</w:t>
      </w:r>
    </w:p>
    <w:p>
      <w:pPr>
        <w:pStyle w:val="Heading2"/>
      </w:pPr>
      <w:r>
        <w:t>Erwägungen</w:t>
      </w:r>
    </w:p>
    <w:p>
      <w:r>
        <w:rPr>
          <w:b/>
        </w:rPr>
        <w:t>E. 1</w:t>
      </w:r>
    </w:p>
    <w:p>
      <w:r>
        <w:t>Les conditions de recevabilité du recours en matière civile sont ici satisfaites (art. 72 al. 1, art. 74 al. 1 let. b avec l'art. 51 al. 1 let. a et 51 al. 4, art. 75 al. 1 et 2, art. 76 al. 1 let. a et b, art. 90, art. 100 al. 1 avec l' art. 46 al. 2 let. a LTF ).</w:t>
      </w:r>
    </w:p>
    <w:p>
      <w:r>
        <w:rPr>
          <w:b/>
        </w:rPr>
        <w:t>E. 2.1</w:t>
      </w:r>
    </w:p>
    <w:p>
      <w:r>
        <w:t>La décision attaquée porte sur des mesures provisionnelles au sens de l' art. 98 LTF ,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94 consid. 4.1; 145 II 32 consid. 5.1; 144 I 170 consid.7.3); il ne suffit pas qu'une autre solution paraisse concevable, voire préférable; pour que cette décision soit annulée, encore faut-il qu'elle se révèle arbitraire non seulement dans ses motifs, mais aussi dans son résultat ( ATF 148 III 95 consid. 4.1; 147 I 170 précité consid. 7.3).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w:t>
      </w:r>
    </w:p>
    <w:p>
      <w:r>
        <w:t>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devant le Tribunal fédéral ( art. 99 al. 1 LTF ), à moins de résulter de la décision de l'autorité précédente ( art. 99 al. 1 LTF ; sur cette exception: cf. ATF 148 V 174 consid. 2.2; 143 V 19 consid. 1.2). Sont en conséquence irrecevables les faits nouveaux ici invoqués - solde du compte épargne et du compte personnel du recourant et montant des frais d'écolage de l'école privée fréquentée par D.A.________.</w:t>
      </w:r>
    </w:p>
    <w:p>
      <w:r>
        <w:rPr>
          <w:b/>
        </w:rPr>
        <w:t>E. 3</w:t>
      </w:r>
    </w:p>
    <w:p>
      <w:r>
        <w:t>Le recourant reproche à la cour cantonale une violation arbitraire des art. 179 et 8 CC en ce qu'elle a refusé de supprimer (s'agissant de l'intimée) et réduire (s'agissant de ses filles) les contributions d'entretien auxquelles il était astreint, malgré la démonstration de sa perte conséquente de revenus, ceux-ci passant en substance de 20'000 fr. nets par mois à la moitié. Il invoque également dans cette perspective l'établissement arbitraire des faits.</w:t>
      </w:r>
    </w:p>
    <w:p>
      <w:r>
        <w:rPr>
          <w:b/>
        </w:rPr>
        <w:t>E. 3.1</w:t>
      </w:r>
    </w:p>
    <w:p>
      <w:r>
        <w:t>La modification d'une décision de mesures protectrices de l'union conjugale est soumise aux conditions de l' art. 179 CC ( ATF 133 III 393 consid. 5.1; 127 III 474 consid. 2b/aa; 116 II 21 consid. 1c), disposition applicable par renvoi de l' art. 276 al. 1 CPC s'agissant des mesures provisionnelles dans la procédure de divorce ( ATF 143 III 617 consid. 3.1; arrêt 5A_971/2020 du 19 novembre 2021 consid. 5.2.1 et les références).</w:t>
      </w:r>
    </w:p>
    <w:p>
      <w:r>
        <w:t>La modification de ces mesures ne peut ainsi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 ATF 143 III 617 consid. 3.1; 141 III 376 consid. 3.3.1; arrêt 5A_895/2022 du 17 juillet 2023 consid. 10.2.1).</w:t>
      </w:r>
    </w:p>
    <w:p>
      <w:r>
        <w:rPr>
          <w:b/>
        </w:rPr>
        <w:t>E. 3.2</w:t>
      </w:r>
    </w:p>
    <w:p>
      <w:r>
        <w:t>La cour cantonale a établi que le recourant était administrateur président de E.________. Il était également actionnaire et directeur, avec signature individuelle de F.________, société exploitant des boutiques de vêtements de luxe à X.________ et à Y.________. Le capital de l'entreprise était détenu par la famille du recourant et ses parents en étaient les deux administrateurs.</w:t>
      </w:r>
    </w:p>
    <w:p>
      <w:r>
        <w:t>Soulignant l'opacité qui se dégageait de la situation financière du recourant, l'autorité cantonale a considéré que celui-ci n'avait pas rendu vraisemblable une baisse essentielle et durable de ses revenus. La juridiction a d'abord relevé que le recourant ne documentait nullement l'absence d'activités de E.________ depuis plusieurs années. Sans en indiquer les motifs, il n'avait pas produit les documents comptables de la société F.________, ni ses avis de taxation ou encore de note manuscrite de son père attestant du fait qu'il ne pouvait plus puiser dans son compte courant actionnaire auprès de la société familiale. Le recourant n'apportait par ailleurs aucune preuve suffisante de la mauvaise santé financière de l'entreprise F.________ depuis la pandémie de Covid-19 qui justifierait sa prétendue perte de revenus. Il n'était enfin pas crédible que les sommes prélevées sur son compte courant actionnaire auprès de la société précitée constitueraient une dette, liée à son impossibilité de verser les contributions d'entretien suite à sa perte de salaire. D'une part, il ne démontrait pas rembourser ni devoir rembourser cette prétendue dette, alors qu'elle se montait à 900'000 fr. en 2018 déjà; en tant qu'il alléguait la précarité financière de l'entreprise, il était surprenant que celle-ci ne lui eût pas réclamé à tout le moins un début de remboursement. D'autre part, ses prélèvements sur son compte actionnaire s'élevaient déjà à 200'000 fr. entre 2017 et 2018 et le montant des prélèvements survenus ultérieurement n'était ni démontré, ni allégué, sans qu'il fût de surcroît prouvé qu'il n'était pas autorisé à y procéder. Il apparaissait ainsi en définitive vraisemblable que, par les prélèvements en question, le recourant ne s'était pas endetté, mais avait perçu un revenu déguisé.</w:t>
      </w:r>
    </w:p>
    <w:p>
      <w:r>
        <w:rPr>
          <w:b/>
        </w:rPr>
        <w:t>E. 3.3</w:t>
      </w:r>
    </w:p>
    <w:p>
      <w:r>
        <w:t>Le recourant prétend qu'en assimilant à du revenu les prélèvements opérés sur son compte courant actionnaire auprès de la société F.________, la motivation cantonale revenait à lui attribuer une position d'actionnaire dominant au sein de cette société, position dont il était établi qu'il ne disposait nullement. Cet argument ne permet cependant aucunement de pallier le manque de transparence que lui reprochent les juges cantonaux au sujet de sa situation financière, l'argumentation développée par le recourant sur ce point précis étant exclusivement appellatoire (affirmation selon laquelle la production de ses fiches de salaire serait suffisante; absence de ressources nécessaires du recourant pour faire face à sa dette, d'où l'absence de réclamation de la société) ou inexistante (mauvaise situation financière de la société F.________). Le renvoi à l'ordonnance rendue le 18 janvier 2019 par le tribunal pour justifier son refus de produire la documentation comptable de la société est au demeurant parfaitement inutile, cette dernière décision ayant été rendue dans un contexte distinct de la présente procédure - requête de mesures protectrices de l'intimée avec conclusion préalable en reddition de comptes - où le fardeau de la preuve de la détérioration de sa situation financière appartient manifestement au recourant. L'on cherche enfin en vain dans l'ordonnance du 20 juin 2022, à laquelle se réfère également le recourant, l'affirmation selon laquelle les prélèvements opérés sur son compte actionnaire ne seraient pas assimilables à du revenu.</w:t>
      </w:r>
    </w:p>
    <w:p>
      <w:r>
        <w:rPr>
          <w:b/>
        </w:rPr>
        <w:t>E. 4</w:t>
      </w:r>
    </w:p>
    <w:p>
      <w:r>
        <w:t>Le recourant estime ensuite arbitraire de lui faire supporter les frais d'écolage privé de sa fille D.A.________.</w:t>
      </w:r>
    </w:p>
    <w:p>
      <w:r>
        <w:rPr>
          <w:b/>
        </w:rPr>
        <w:t>E. 4.1</w:t>
      </w:r>
    </w:p>
    <w:p>
      <w:r>
        <w:t>La cour cantonale a retenu que la décision d'inscrire D.A.________ à l'école publique ressortait d'une décision unilatérale du recourant, dont il ne pouvait se prévaloir sans en conférer avec l'intimée. Dans la mesure où l'enfant continuait à fréquenter l'école privée, conformément à la décision que les parties avaient prise d'entente par le passé, cette charge ne pouvait être écartée, les revenus du recourant - dont celui-ci avait échoué à démontrer la diminution - permettant de s'en acquitter.</w:t>
      </w:r>
    </w:p>
    <w:p>
      <w:r>
        <w:rPr>
          <w:b/>
        </w:rPr>
        <w:t>E. 4.2</w:t>
      </w:r>
    </w:p>
    <w:p>
      <w:r>
        <w:t>Le recourant soutient que, contrairement à ce que retenait arbitrairement la cour cantonale, c'est d'entente avec l'intimée qu'il avait été décidé que sa fille rejoindrait l'école publique. D.A.________ avait néanmoins réintégré l'école privée à la seule initiative de sa mère, en raison du fait que, vu ses résultats aux tests d'admission à l'école publique, seule une scolarisation auprès de l'École de culture générale entrait en considération. Le recourant affirme que l'accord initial des parties d'inscrire leur fille à l'école privée n'impliquait pas son accord à sa réinscription suite à la décision concertée de la faire intégrer l'école publique.</w:t>
      </w:r>
    </w:p>
    <w:p>
      <w:r>
        <w:rPr>
          <w:b/>
        </w:rPr>
        <w:t>E. 4.3</w:t>
      </w:r>
    </w:p>
    <w:p>
      <w:r>
        <w:t>La concertation des parties au sujet de l'inscription de D.A.________ à l'école publique n'est pas claire. Le recourant l'affirme en se référant à la duplique de l'intimée devant la cour cantonale; sa lecture permet néanmoins d'en déduire que l'intimée paraît y avoir souscrit sous pression.</w:t>
      </w:r>
    </w:p>
    <w:p>
      <w:r>
        <w:t>Quoi qu'il en soit, cette question n'est pas déterminante. Dans la mesure où la voie gymnasiale était manifestement fermée à D.A.________ suite à ses résultats aux tests d'admission, il n'apparaît pas arbitraire d'avoir retenu sa réinscription en école privée en se fondant sur l'accord initial du recourant, qui s'acquitte des frais d'écolage privé depuis plusieurs années, ce d'autant plus que ses revenus suffisent à les assurer, le recourant échouant à en démontrer une diminution.</w:t>
      </w:r>
    </w:p>
    <w:p>
      <w:r>
        <w:rPr>
          <w:b/>
        </w:rPr>
        <w:t>E. 5</w:t>
      </w:r>
    </w:p>
    <w:p>
      <w:r>
        <w:t>En définitive, le recours est rejeté dans la mesure où il est recevable. Les frais judiciaires sont mis à la charge du recourant ( art. 66 al. 1 LTF ); aucune indemnité de dépens n'est accordée à l'intimée qui a conclu en vain au rejet de la requête d'effet suspensif déposée par le recourant à l'appui de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