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5A_378/2023 vom 11. Januar 2024</w:t>
      </w:r>
    </w:p>
    <w:p>
      <w:r>
        <w:t>Bundesgericht, 2024-01-11, FR</w:t>
      </w:r>
    </w:p>
    <w:p>
      <w:r>
        <w:rPr>
          <w:b/>
        </w:rPr>
        <w:t xml:space="preserve">Quelle: </w:t>
      </w:r>
      <w:r>
        <w:t>https://mcp.opencaselaw.ch/entscheid/bger_5A_378_2023</w:t>
      </w:r>
    </w:p>
    <w:p>
      <w:r>
        <w:t>FR: TF 5A_378/2023 du 11 janvier 2024</w:t>
      </w:r>
    </w:p>
    <w:p>
      <w:r>
        <w:t>IT: TF 5A_378/2023 del 11 gennaio 2024</w:t>
      </w:r>
    </w:p>
    <w:p>
      <w:pPr>
        <w:pStyle w:val="Heading2"/>
      </w:pPr>
      <w:r>
        <w:t>Erwägungen</w:t>
      </w:r>
    </w:p>
    <w:p>
      <w:r>
        <w:rPr>
          <w:b/>
        </w:rPr>
        <w:t>E. 1</w:t>
      </w:r>
    </w:p>
    <w:p>
      <w:r>
        <w:t>Le recours a été déposé en temps utile ( art. 100 al. 1 LTF ) contre une décision finale ( art. 90 LTF ) rendue par un tribunal supérieur statuant sur recours ( art. 75 al. 1 et 2 LTF ). Le recourant, qui a succombé devant la cour cantonale, a qualité pour recourir ( art. 76 al. 1 LTF ). L'arrêt entrepris est susceptible d'un recours en matière civile (art. 72 al. 2 let. b ch. 1 LTF). La valeur litigieuse est atteinte en l'espèce ( art. 74 al. 1 let. b LTF ).</w:t>
      </w:r>
    </w:p>
    <w:p>
      <w:r>
        <w:rPr>
          <w:b/>
        </w:rPr>
        <w:t>E. 2.1</w:t>
      </w:r>
    </w:p>
    <w:p>
      <w:r>
        <w:t>La décision portant sur la reconnaissance et l'exécution du jugement étranger, et non sur l'opposition au séquestre, il ne s'agit pas d'une mesure provisionnelle. Le recourant peut ainsi invoquer la violation du droit fédéral ainsi que du droit international ( art. 95 let. a et b LTF ; arrêt 5A_697/2020 du 22 mars 2021 consid. 2.1 et les références).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conduit son raisonnement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rPr>
          <w:b/>
        </w:rPr>
        <w:t>E. 3</w:t>
      </w:r>
    </w:p>
    <w:p>
      <w:r>
        <w:t>L'autorité cantonale a tout d'abord jugé que le grief du recourant fondé sur l' art. 271 al. 3 LP , selon lequel le premier juge n'avait pas examiné si les conditions posées par la CL pour prononcer l'</w:t>
      </w:r>
    </w:p>
    <w:p>
      <w:r>
        <w:t>exequatur étaient réunies, avait fait l'objet de l'arrêt cantonal du 5 octobre 2022, renvoyant la cause au tribunal de l'</w:t>
      </w:r>
    </w:p>
    <w:p>
      <w:r>
        <w:t>exequatur , de sorte qu'il n'y avait pas lieu de revenir sur ce point.</w:t>
      </w:r>
    </w:p>
    <w:p>
      <w:r>
        <w:t>Ensuite, elle a considéré que le recourant soutenait à tort que la CL n'était pas applicable à une décision civile rendue par un juge pénal ( art. 5 al. 1 ch. 4 CL ). C'était également à tort qu'il arguait que la décision entreprise violait l' art. 34 ch. 2 CL . En effet, il n'avait pas été défaillant dans les procédures conclues par les arrêts des 16 octobre 2019 et 7 janvier 2021, rendus contradictoirement, puisqu'il avait pu faire valoir ses arguments, cas échéant par l'intermédiaire de son conseil. L' art. 34 ch. 2 CL ne pouvait dès lors trouver application. Elle a aussi précisé que le jugement du Tribunal correctionnel d'Aix-en-Provence du 6 décembre 2018 ayant été confirmé par arrêt du 16 octobre 2019, le certificat Lugano dont ce dernier était muni valait également pour celui-ci.</w:t>
      </w:r>
    </w:p>
    <w:p>
      <w:r>
        <w:t>Par ailleurs, s'agissant de l'arrêt du 24 novembre 2020 rendu par la Cour d'appel d'Aix-en-Provence, celui-ci était définitif et exécutoire, après rejet du pourvoi en cassation interjeté contre celui-ci, lui-même définitif et exécutoire comme cela ressortait de la copie certifiée conforme de l'arrêt de la Cour de cassation française du 12 octobre 2022, ainsi que de la copie du certificat de reconnaissance établi par les autorités françaises. Ainsi, les documents figurant au dossier étaient suffisants pour établir ce qui précède.</w:t>
      </w:r>
    </w:p>
    <w:p>
      <w:r>
        <w:t>L'autorité cantonale a aussi précisé que la question de savoir si, au moment du prononcé de séquestre le 11 mars 2022, l'arrêt du 24 novembre 2020 était exécutoire et/ou permettait l'obtention d'un séquestre, au titre de mesure conservatoire, était exorbitante du recours dont elle était saisi et devrait être tranchée par le tribunal dans le cadre de l'opposition à séquestre. Même à admettre que le tribunal aurait omis de tenir compte de l'effet suspensif du pourvoi en cassation interjeté contre l'arrêt du 24 novembre 2020, cela ne constituerait pas une atteinte à l'ordre public suisse, comme tentait de le soutenir le recourant.</w:t>
      </w:r>
    </w:p>
    <w:p>
      <w:r>
        <w:rPr>
          <w:b/>
        </w:rPr>
        <w:t>E. 4</w:t>
      </w:r>
    </w:p>
    <w:p>
      <w:r>
        <w:t>Le recourant se plaint de la violation des art. 271 al. 3 LP , 58 al.1 CPC, 34 ch. 1, 38 al. 1, 53 et 55 CL, ainsi que d'arbitraire ( art. 9 Cst. ) dans la constatation des faits.</w:t>
      </w:r>
    </w:p>
    <w:p>
      <w:r>
        <w:t>Il soutient tout d'abord que l'arrêt du 24 novembre 2020 ne pouvait pas être reconnu en Suisse lors du prononcé de séquestre du 11 mars 2022 car cette décision faisait l'objet d'un pourvoi en cassation auprès de la Cour de cassation de la République française, qui a effet suspensif et sur lequel cette autorité a statué le 12 octobre 2022. Selon lui, les conditions de cette reconnaissance devaient exister au moment du séquestre en tant que condition préalable à cette mesure. En conséquence, c'est à tort que l'autorité précédente a retenu que la question de savoir si, au moment du prononcé du séquestre le 11 mars 2022, l'arrêt du 24 novembre 2020 était exécutoire et/ou permettait l'obtention d'un séquestre, devait être tranchée par le tribunal dans le cadre de l'opposition à séquestre car elle a consacré ainsi une reconnaissance anticipée puis rétroactive d'une décision étrangère dans le cadre du séquestre, sans qu'elle n'ait force exécutoire au moment du séquestre. Il qualifie cette approche de contraire au mécanisme prévu par l' art. 271 al. 3 LP et la CL, dès lors qu'une décision ne peut pas être reconnue avant l'achèvement des formalités prévues à l' art. 53 CL , et à l'ordre public. Il ajoute que l'intimée n'a du reste pas sollicité une reconnaissance indépendante des décisions étrangères invoquées, en particulier de l'arrêt du 24 novembre 2020, à l'appui du séquestre. Reconnaître</w:t>
      </w:r>
    </w:p>
    <w:p>
      <w:r>
        <w:t>a posteriori - hors prononcé du séquestre - une décision étrangère constitue une violation de l' art. 58 al. 1 CPC puisque l'intimée n'a pris aucune conclusion en ce sens.</w:t>
      </w:r>
    </w:p>
    <w:p>
      <w:r>
        <w:t>Le recourant soutient ensuite que l'autorité cantonale a constaté de manière arbitraire ( art. 9 Cst. ) que les arrêts des 16 octobre 2019 et 7 janvier 2021 avaient été rendus dans une procédure contradictoire car il ne ressortait rien de tel de ces arrêts. En conséquence, pour contrôler si les motifs du défaut ne faisaient entrave à la reconnaissance ( art. 34 ch. 2 CL ), le certificat Lugano devait être complet; or, le point 4.4 dudit certificat ne mentionne rien en l'occurrence et il aurait dû être complété.</w:t>
      </w:r>
    </w:p>
    <w:p>
      <w:r>
        <w:rPr>
          <w:b/>
        </w:rPr>
        <w:t>E. 5</w:t>
      </w:r>
    </w:p>
    <w:p>
      <w:r>
        <w:t>La première question qui se pose est celle de la portée de la décision d'</w:t>
      </w:r>
    </w:p>
    <w:p>
      <w:r>
        <w:t>exequatur prononcée au cours d'une procédure de séquestre. Doit aussi être brièvement rappelé le moment où doit se placer le juge du séquestre auquel l'autorité cantonale a renvoyé la cause suite à l'admission d'un recours au sens de l' art. 327a CPC .</w:t>
      </w:r>
    </w:p>
    <w:p>
      <w:r>
        <w:rPr>
          <w:b/>
        </w:rPr>
        <w:t>E. 5.1.1</w:t>
      </w:r>
    </w:p>
    <w:p>
      <w:r>
        <w:t>Le juge qui entend prononcer le séquestre requis sur la base d'un jugement "Lugano" doit statuer sur l'</w:t>
      </w:r>
    </w:p>
    <w:p>
      <w:r>
        <w:t>exequatur de celui-ci ( art. 271 al. 1 ch. 6 et al. 3 LP ; ATF 147 III 491 consid. 6.2.1; 139 III 135 consid. 4.5.2 i.f.), même en l'absence de conclusions ( ATF 149 III 224 consid. 5.2.3). Le débiteur séquestré qui entend soulever l'un des motifs de refus d'</w:t>
      </w:r>
    </w:p>
    <w:p>
      <w:r>
        <w:t>exequatur prévus par la CL (art. 45 par. 1</w:t>
      </w:r>
    </w:p>
    <w:p>
      <w:r>
        <w:t>cum art. 34 s. CL) ou s'en prendre aux conditions que le premier juge peut examiner ( art. 1, 32, 38 par. 1, 53 CL ) ne peut le faire que dans le cadre du recours de l' art. 327a CPC (cf. art. 43 CL ). Les art. 319 ss CPC sont ainsi applicables dans la mesure où les art. 43 CL et 327a CPC n'y dérogent pas (arrêt 5A_825/2022 du 7 mars 2023 consid. 4.2.1). Cette procédure doit le cas échéant être menée parallèlement à la procédure d'opposition au séquestre (ATF 147 précité consid. 6.2.2).</w:t>
      </w:r>
    </w:p>
    <w:p>
      <w:r>
        <w:t>Le juge du séquestre statue à titre principal et définitivement sur l'</w:t>
      </w:r>
    </w:p>
    <w:p>
      <w:r>
        <w:t>exequatur du jugement "Lugano", soit dans une ordonnance distincte, soit directement dans le dispositif de l'ordonnance du séquestre (ATF 147 précité 6.2.1). Cette décision indépendante est assortie de l'autorité de la chose jugée ( ATF 138 III 174 consid. 6.5), à moins qu'elle rejette l'</w:t>
      </w:r>
    </w:p>
    <w:p>
      <w:r>
        <w:t>exequatur pour un motif formel (arrêts 5A_504/2023 du 8 novembre 2023 consid. 4.1.2; 5A_59/2015 du 30 septembre 2015 consid. 4.2.1).</w:t>
      </w:r>
    </w:p>
    <w:p>
      <w:r>
        <w:rPr>
          <w:b/>
        </w:rPr>
        <w:t>E. 5.1.2</w:t>
      </w:r>
    </w:p>
    <w:p>
      <w:r>
        <w:t>Par un arrêt de renvoi ( art. 327 al. 1 let. a CPC ), la juridiction cantonale replace la procédure dans l'état où elle se trouvait avant le prononcé de la décision de première instance (arrêt 5A_648/2017 du 22 janvier 2018 consid. 4.2.3). En raison de l'autorité de l'arrêt de renvoi, il est interdit au tribunal, comme aux parties - sous réserve d'éventuels</w:t>
      </w:r>
    </w:p>
    <w:p>
      <w:r>
        <w:t>nova admissibles - de fonder le jugement sur un état de fait autre que celui qui a été présenté jusqu'alors, ou d'examiner la cause sous des aspects juridiques qui ont été écartés dans l'arrêt de renvoi ou qui n'ont pas du tout été examinés. La mesure dans laquelle les tribunaux et les parties sont liés par la première décision résulte de la motivation de l'arrêt de renvoi, qui fixe tant le cadre d'éventuels nouveaux constats de fait que celui de la nouvelle motivation juridique ( ATF 135 III 334 consid. 2 et 2.1).</w:t>
      </w:r>
    </w:p>
    <w:p>
      <w:r>
        <w:rPr>
          <w:b/>
        </w:rPr>
        <w:t>E. 5.2</w:t>
      </w:r>
    </w:p>
    <w:p>
      <w:r>
        <w:t>En l'espèce, le recourant méconnaît le caractère indépendant de la décision d'</w:t>
      </w:r>
    </w:p>
    <w:p>
      <w:r>
        <w:t>exequatur prononcée par le juge du séquestre, la portée du principe de disposition ainsi que l'effet d'un arrêt de renvoi. Il appartenait à l'autorité cantonale de trancher uniquement la question de savoir si les conditions de l'</w:t>
      </w:r>
    </w:p>
    <w:p>
      <w:r>
        <w:t>exequatur étaient réunies, le juge du séquestre devant ensuite examiner si le cas de séquestre était réalisé. Le fait que l'intimée n'ait pas engagé de procédure indépendante d'</w:t>
      </w:r>
    </w:p>
    <w:p>
      <w:r>
        <w:t>exequatur n'a aucune portée, le juge du séquestre prenant deux décisions lorsqu'il admet le cas de séquestre du ch. 6 de l' art. 271 al. 1 LP et pouvant se saisir de conclusions implicites en exécution. Si le prononcé d'</w:t>
      </w:r>
    </w:p>
    <w:p>
      <w:r>
        <w:t>exequatur est la condition de celui du séquestre, l'inverse n'est pas vrai; il n'est pas exclu que l'</w:t>
      </w:r>
    </w:p>
    <w:p>
      <w:r>
        <w:t>exequatur soit prononcé mais que le séquestre soit en revanche refusé lors de l'opposition qui fait suite à son prononcé. Par ailleurs, le premier juge a considéré qu'étant donné que la cause ne lui était renvoyée que pour formaliser la décision d'</w:t>
      </w:r>
    </w:p>
    <w:p>
      <w:r>
        <w:t>exequatur prise lors du séquestre, son ordonnance déployait ses effets à compter du 11 mars 2022, soit à la même date que celle où le séquestre a été prononcé.</w:t>
      </w:r>
    </w:p>
    <w:p>
      <w:r>
        <w:t>Les griefs du recourant doivent ainsi être rejetés et il reste uniquement à examiner si c'est à tort que l'autorité cantonale a jugé que les conditions de l'</w:t>
      </w:r>
    </w:p>
    <w:p>
      <w:r>
        <w:t>exequatur étaient réunies le 11 mars 2022.</w:t>
      </w:r>
    </w:p>
    <w:p>
      <w:r>
        <w:rPr>
          <w:b/>
        </w:rPr>
        <w:t>E. 6</w:t>
      </w:r>
    </w:p>
    <w:p>
      <w:r>
        <w:t>Le litige porte sur les conditions de la force exécutoire des décisions françaises. Comme obstacle à l'exécution en date du 11 mars 2022, le recourant invoque l'effet suspensif du pourvoi en cassation dont faisait alors l'objet l'arrêt du 24 novembre 2020 de la Cour d'appel d'Aix-en-Provence et l'absence du caractère contradictoire dans les procédures ayant conduit à l'arrêt du 16 octobre 2019 de cette Cour et au jugement du 7 janvier 2021 du Tribunal correctionnel d'Aix-en-Provence.</w:t>
      </w:r>
    </w:p>
    <w:p>
      <w:r>
        <w:rPr>
          <w:b/>
        </w:rPr>
        <w:t>E. 6.1</w:t>
      </w:r>
    </w:p>
    <w:p>
      <w:r>
        <w:t>Le grief de fait ( art. 9 Cst. ) relatif au caractère contradictoire des procédures précitées ne répond manifestement pas aux réquisits du principe d'allégation (cf. art. 106 al. 2 LTF ;</w:t>
      </w:r>
    </w:p>
    <w:p>
      <w:r>
        <w:t>supra consid. 2.2) et doit par conséquent être déclaré irrecevable.</w:t>
      </w:r>
    </w:p>
    <w:p>
      <w:r>
        <w:rPr>
          <w:b/>
        </w:rPr>
        <w:t>E. 6.2.1</w:t>
      </w:r>
    </w:p>
    <w:p>
      <w:r>
        <w:t>La déclaration d'exécution de l' art. 38 al. 1 CL ne peut avoir pour objet qu'une décision qui est exécutoire. Pour que l'</w:t>
      </w:r>
    </w:p>
    <w:p>
      <w:r>
        <w:t>exequatur soit prononcé, il suffit que la décision soit exécutoire dans l'Etat d'origine. Le caractère exécutoire se détermine donc selon les règles de cet Etat ( ATF 143 III 404 consid. 5.2.2). L'exigence d'être exécutoire n'implique pas celle de revêtir la force de chose jugée ou d'être définitif (arrêt 5P.435/2006 du 23 mars 2007 consid. 5; BUCHER, Commentaire romand, LDIP/CL, 2011, n° 2 ad art. 38 CL ). Les décisions exécutoires provisoirement peuvent en effet également être reconnues et exécutées (arrêt 5A_79/2008 du 6 août 2008 consid. 4.2.1, publié</w:t>
      </w:r>
    </w:p>
    <w:p>
      <w:r>
        <w:t>in PJA 2009 p. 660); il en va ainsi dans l'attente d'une décision rendue en appel ( ATF 126 III 156 consid. 2a; BUCHER,</w:t>
      </w:r>
    </w:p>
    <w:p>
      <w:r>
        <w:t>op. cit. , n° 4 ad art. 38 CL ). La force exécutoire est attestée dans le certificat de l' art. 54 CL , délivré en utilisant le formulaire dont le modèle figure à l'annexe V de la CL. Cette attestation sert, tout comme une clause exécutoire, à prouver l'existence et la force exécutoire d'un titre. Ce résultat est conforme au texte de l' art. 53 CL , selon lequel le requérant doit produire une "expédition" de la décision; il n'est pas question d'une expédition exécutoire (arrêt 5A_934/2016 du 23 août 2017 consid. 5.3). A défaut de production du certificat visé à l' art. 54 CL , la juridiction ou l'autorité compétente peut impartir un délai pour le produire ou accepter un document équivalent ou, si elle s'estime suffisamment éclairée, en dispenser (cf. art. 55 al. 1 CL ).</w:t>
      </w:r>
    </w:p>
    <w:p>
      <w:r>
        <w:rPr>
          <w:b/>
        </w:rPr>
        <w:t>E. 6.2.2</w:t>
      </w:r>
    </w:p>
    <w:p>
      <w:r>
        <w:t>En l'espèce, c'est à tort que l'autorité cantonale s'est contentée de considérer que l'arrêt du 24 novembre 2020 était définitif et exécutoire après le rejet du pourvoi en cassation et qu'il appartenait au seul juge du séquestre de déterminer, dans le cadre de l'opposition à séquestre, si, au moment du prononcé du séquestre le 11 mars 2022, cet arrêt était déjà exécutoire. En effet, si le juge doit, dans la procédure sur opposition, examiner l'existence du cas de séquestre, il n'en demeure pas moins que, en l'occurrence, le premier juge statuant sur l'exécution a fait remonter les effets de sa décision en date du 11 mars 2022. Il appartenait donc bien à l'autorité cantonale, sur recours de l' art. 327a CPC , de vérifier si l'arrêt en question était exécutoire à ce moment-là. Néanmoins, le recourant ne dénonce à cet égard aucune violation du droit d'être entendu ( art. 29 al. 2 Cst. ) sous l'aspect du droit à une décision motivée. En outre, il se borne à affirmer que le droit français a été apprécié de manière erronée. Or, dans un litige de nature pécuniaire, le recours en matière civile peut être formé uniquement pour dénoncer une application arbitraire du droit étranger ( art. 96 let. b LTF</w:t>
      </w:r>
    </w:p>
    <w:p>
      <w:r>
        <w:t>a contrario ; ATF 143 II 350 consid. 3.2). En l'occurrence, le recourant ne dénonce aucune violation de l' art. 9 Cst. à ce titre et ne présente aucune critique répondant aux exigences en la matière (cf.</w:t>
      </w:r>
    </w:p>
    <w:p>
      <w:r>
        <w:t>supra consid. 2.1 i. f.).</w:t>
      </w:r>
    </w:p>
    <w:p>
      <w:r>
        <w:t>Il suit de là que les griefs du recourant doivent tous être rejetés, dans la faible mesure de leur recevabilité, en tant qu'ils ne sont d'aucune pertinence pour attaquer les motifs essentiels de l'arrêt attaqué.</w:t>
      </w:r>
    </w:p>
    <w:p>
      <w:r>
        <w:rPr>
          <w:b/>
        </w:rPr>
        <w:t>E. 7</w:t>
      </w:r>
    </w:p>
    <w:p>
      <w:r>
        <w:t>En définitive, le recours est rejeté dans la faible mesure de sa recevabilité. Les frais judiciaires, arrêtés à 6'000 fr., sont mis à la charge du recourant, qui succombe ( art. 66 al. 1 LTF ). Aucuns dépens ne sont dus, la partie intimée n'ayant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