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5A_378/2016 vom 22. März 2017</w:t>
      </w:r>
    </w:p>
    <w:p>
      <w:r>
        <w:t>Bundesgericht, 2017-03-22, FR</w:t>
      </w:r>
    </w:p>
    <w:p>
      <w:r>
        <w:rPr>
          <w:b/>
        </w:rPr>
        <w:t xml:space="preserve">Quelle: </w:t>
      </w:r>
      <w:r>
        <w:t>https://mcp.opencaselaw.ch/entscheid/bger_5A_378_2016</w:t>
      </w:r>
    </w:p>
    <w:p>
      <w:r>
        <w:t>FR: TF 5A_378/2016 du 22 mars 2017</w:t>
      </w:r>
    </w:p>
    <w:p>
      <w:r>
        <w:t>IT: TF 5A_378/2016 del 22 marzo 2017</w:t>
      </w:r>
    </w:p>
    <w:p>
      <w:pPr>
        <w:pStyle w:val="Heading2"/>
      </w:pPr>
      <w:r>
        <w:t>Erwägungen</w:t>
      </w:r>
    </w:p>
    <w:p>
      <w:r>
        <w:rPr>
          <w:b/>
        </w:rPr>
        <w:t>E. 1</w:t>
      </w:r>
    </w:p>
    <w:p>
      <w:r>
        <w:t>Le recours a été déposé dans le délai légal ( art. 100 al. 1 LTF ) à l'encontre d'une décision finale ( art. 90 LTF ) rendue en matière de poursuite pour dettes et de faillite ( art. 72 al. 2 let. a LTF ) par une autorité cantonale de dernière instance statuant sur recours ( art. 75 al. 1 et 2 LTF ), dans une affaire pécuniaire dont la valeur litigieuse est supérieure à 30'000 fr. ( art. 74 al. 1 let. b LTF ), celle-ci correspondant pour l'action révocatoire en dehors de la faillite (ou du concordat par abandon d'actif) au montant de la créance constatée dans l'acte de défaut de biens ou, si elle est inférieure, à la valeur du bien soustrait par l'acte révocable (arrêts 5A_313/2012 du 5 février 2013 consid. 1; 5A_58/2009 du 28 septembre 2009 consid. 1.2). Le recourant, qui a été débouté de ses conclusions par la juridiction précédente, a qualité pour recourir ( art. 76 al. 1 LTF ).</w:t>
      </w:r>
    </w:p>
    <w:p>
      <w:r>
        <w:rPr>
          <w:b/>
        </w:rPr>
        <w:t>E. 2.1</w:t>
      </w:r>
    </w:p>
    <w:p>
      <w:r>
        <w:t>Le recours en matière civile peut être formé pour violation du droit fédéral tel qu'il est délimité par les art. 95 s. LTF.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138 II 331 consid. 1.3; arrêt 4A_445/2015 du 23 juin 2016 consid. 1.3 non publié in ATF 142 III 466 ). Toutefois, compte tenu de l'obligation de motiver qui incombe au recourant en vertu de l' art. 42 al. 2 LTF , il n'examine pas toutes les questions juridiques qui peuvent se poser, mais seulement celles qui sont soulevées devant lui ( ATF 142 III 364 consid. 2.4 et les références). Pour satisfaire à son obligation de motiver, le recourant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cantonale ( ATF 142 I 99 consid. 1.7.1; 140 III 86 consid. 2 et les références).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140 III 115 consid. 2, 264 consid. 2.3), doit satisfaire au principe d'allégation susmentionné ( art. 106 al. 2 LTF ; cf.</w:t>
      </w:r>
    </w:p>
    <w:p>
      <w:r>
        <w:t>supra consid. 2.1). Il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appréciation des preuves manifestement insoutenable. Les critiques de nature appellatoire sont irrecevables ( ATF 140 III 264 consid. 2.3).</w:t>
      </w:r>
    </w:p>
    <w:p>
      <w:r>
        <w:t>En l'espèce, le recourant ne soutient pas que la cour cantonale aurait arbitrairement apprécié les preuves ou établi les faits. Partant, seuls les faits tels que retenus dans la décision querellée seront pris en considération, en particulier s'agissant des opérations inscrites au Registre foncier le 22 décembre 2006 (cf.</w:t>
      </w:r>
    </w:p>
    <w:p>
      <w:r>
        <w:t>supra let. A.c).</w:t>
      </w:r>
    </w:p>
    <w:p>
      <w:r>
        <w:rPr>
          <w:b/>
        </w:rPr>
        <w:t>E. 3</w:t>
      </w:r>
    </w:p>
    <w:p>
      <w:r>
        <w:t>Le recourant se plaint de la violation des art. 288 et, sans s'y référer expressément (cf.</w:t>
      </w:r>
    </w:p>
    <w:p>
      <w:r>
        <w:t>supra consid. 2.1), 290 LP.</w:t>
      </w:r>
    </w:p>
    <w:p>
      <w:r>
        <w:rPr>
          <w:b/>
        </w:rPr>
        <w:t>E. 3.1</w:t>
      </w:r>
    </w:p>
    <w:p>
      <w:r>
        <w:t>La cour cantonale a considéré que, selon le cours ordinaire des choses, le débiteur qui a aliéné par avancement d'hoirie ses immeubles ne l'aurait pas fait s'il n'avait pas réservé le double usufruit et obtenu des liquidités pour son entreprise. Partant, on ne pouvait retenir que les différentes opérations inscrites le même jour au registre foncier ne procédaient pas d'un acte unique et que les enfants du débiteur, après avoir reçu en donation des immeubles libres d'usufruit et grevés d'une dette hypothécaire de 200'000 ou 230'000 fr., auraient dans un second temps librement consenti un usufruit en faveur de leurs parents et une augmentation de la dette hypothécaire à 500'000 fr. afin de pouvoir verser 270'000 fr. à fonds perdus sur le compte du commissaire au sursis concordataire de la société E.A.________ SA. Il était bien plutôt conforme au cours ordinaire des choses que le débiteur avait aliéné ses immeubles précisément parce qu'il avait ainsi pu constituer simultanément un usufruit et obtenir des liquidités pour son entreprise. D'ailleurs, les courriers du 21 décembre 2006, adressés au notaire et à la banque I.________, relatifs à l'acte constitutif de la cédule hypothécaire du même jour, étaient signés par les enfants mais aussi et en premier lieu par leur père. Au vu de ces éléments, la cour cantonale a estimé qu'il y avait lieu d'admettre que les constitutions de la cédule hypothécaire et de l'usufruit avaient été faites simultanément à l'aliénation des immeubles. Il résultait donc de ces circonstances que la valeur des charges grevant l'immeuble dépassait la valeur de la nue-propriété. Par conséquent, il ne s'agissait pas d'un " cas de distraction " de la part des intimés afin de porter préjudice au recourant dans la mesure où aucun préjudice n'avait été causé à A.A.________ par l'acte dont il requerrait la révocation. Pour le surplus, la juridiction précédente a relevé que le recourant aurait dû actionner D.A.________, son épouse ou la banque afin de révoquer la constitution de l'usufruit ou celle de la cédule hypothécaire, qui étaient en réalité les actes qui auraient pu lui causer un préjudice.</w:t>
      </w:r>
    </w:p>
    <w:p>
      <w:r>
        <w:rPr>
          <w:b/>
        </w:rPr>
        <w:t>E. 3.2</w:t>
      </w:r>
    </w:p>
    <w:p>
      <w:r>
        <w:t>Le recourant soutient que la cour cantonale a violé l' art. 288 LP . Sans la donation incriminée, la saisie aurait porté puisqu'elle aurait eu pour objet un immeuble d'une valeur de 860'000 fr., dont à déduire 200'000 fr. d'hypothèque, pour couvrir une créance de 281'342 fr. 20. Que la donation soit intervenue à certaines conditions n'y changerait rien, dès lors que c'est par la donation que le débiteur s'est séparé de son bien saisissable, la constitution d'un double usufruit, respectivement l'augmentation de l'hypothèque en faveur du débiteur ne pouvant se réaliser sans la volonté, sinon la complicité active, des bénéficiaires de la donation, lesquels ont ainsi participé à l'opération du débiteur visant à soustraire l'immeuble à la saisie. Le débiteur ne se serait dès lors pas dessaisi d'un bien sans valeur parce qu'hypothéqué à hauteur de celle-ci mais bien d'un immeuble valant 660'000 fr. nets que " les donataires ont accepté, en leur qualité de nouveaux propriétaires, de grever d'usufruits et d'une hypothèque augmentée, tant il est vrai que le débiteur, ayant renoncé à son droit de propriété, ne pouvait lui-même constituer des servitudes et hypothèques ". Selon le recourant, il serait également faux de retenir qu'il aurait dû s'en prendre aux usufruitiers ou au créancier gagiste, les opérations les concernant n'ayant pu intervenir sans le transfert de propriété qui en constituerait une condition préalable</w:t>
      </w:r>
    </w:p>
    <w:p>
      <w:r>
        <w:t>sine qua non . La donation serait ainsi le seul acte dont le débiteur s'est rendu " coupable " et dont la révocation serait possible.</w:t>
      </w:r>
    </w:p>
    <w:p>
      <w:r>
        <w:rPr>
          <w:b/>
        </w:rPr>
        <w:t>E. 3.3.1</w:t>
      </w:r>
    </w:p>
    <w:p>
      <w:r>
        <w:t>La saisie ayant eu lieu avant l'entrée en vigueur, le 1</w:t>
      </w:r>
    </w:p>
    <w:p>
      <w:r>
        <w:t>er janvier 2014, de l'alinéa deux nouveau de l' art. 288 LP (révocation d'un acte accompli en faveur d'une personne proche) introduit par le chiffre I de la loi fédérale du 21 juin 2013 modifiant la loi fédérale sur la poursuite pour dettes et la faillite du 11 avril 1889 (RO 2013 4111), c'est à juste titre que l'autorité cantonale a appliqué l' art. 288 LP dans son ancienne teneur (arrêt 5A_85/2015 du 7 mai 2015 consid. 4.1 et les références).</w:t>
      </w:r>
    </w:p>
    <w:p>
      <w:r>
        <w:rPr>
          <w:b/>
        </w:rPr>
        <w:t>E. 3.3.2</w:t>
      </w:r>
    </w:p>
    <w:p>
      <w:r>
        <w:t>Selon cet article, sont révocables tous actes faits par le débiteur dans les cinq ans qui précèdent la saisie ou la déclaration de faillite dans l'intention reconnaissable par l'autre partie de porter préjudice à ses créanciers ou de favoriser certains créanciers au détriment des autres. Cette disposition suppose notamment la réalisation des trois conditions suivantes: l'existence d'un préjudice causé au créancier, à savoir une diminution du produit de l'exécution forcée ou de la part du créancier à ce produit ou une aggravation de sa position dans la procédure d'exécution forcée ( ATF 135 III 276 consid. 6.1.2; 101 III 92 consid. 4a), l'intention du débiteur de causer ce préjudice (intention dolosive) et la possibilité pour le bénéficiaire de l'acte de reconnaître cette intention (caractère reconnaissable de l'intention dolosive) ( ATF 137 III 268 consid. 4; 136 III 247 consid. 3).</w:t>
      </w:r>
    </w:p>
    <w:p>
      <w:r>
        <w:rPr>
          <w:b/>
        </w:rPr>
        <w:t>E. 3.3.3</w:t>
      </w:r>
    </w:p>
    <w:p>
      <w:r>
        <w:t>S'agissant de la première condition, le préjudice est présumé à l'égard du créancier porteur d'un acte de défaut de biens, de sorte que le demandeur n'a pas à prouver que l'acte a effectivement causé un préjudice à lui-même ou à plusieurs autres créanciers. Néanmoins, le défendeur à l'action révocatoire peut renverser cette présomption en établissant que l'acte n'a pas entraîné un tel préjudice dans le cas particulier, parce que le demandeur aurait subi une perte même si l'acte révocable n'avait pas été accompli ( ATF 136 III 247 consid. 3). Le droit d'intenter une action révocatoire n'est en effet accordé qu'au créancier qui, dans la procédure d'exécution forcée, se trouve plus mal placé qu'il ne le serait si l'acte attaquable ne s'était pas produit. L'action révocatoire ne vise pas à punir le défendeur, mais à rétablir la situation dans laquelle se serait trouvé, sans l'acte incriminé, le patrimoine du débiteur lors de la saisie, et en tant qu'il aurait servi à désintéresser le créancier demandeur. L'action paulienne suppose une atteinte aux droits d'exécution du créancier demandeur à l'encontre de son débiteur, qui est la conséquence de l'acte attaqué; il appartient donc au défendeur à l'action de prouver que cet acte ne pouvait entraîner un préjudice de cette nature dans le cas concret ( ATF 137 III 268 consid. 4.1 et les références; 135 III 276 consid. 6.1.1).</w:t>
      </w:r>
    </w:p>
    <w:p>
      <w:r>
        <w:rPr>
          <w:b/>
        </w:rPr>
        <w:t>E. 3.4</w:t>
      </w:r>
    </w:p>
    <w:p>
      <w:r>
        <w:t>En l'espèce, il n'est pas contesté que le recourant est porteur d'un acte de défaut de biens définitif pour la somme de 281'342 fr. 20. Se référant à un arrêt publié aux ATF 38 II 329 , selon lequel n'est pas révocable le transfert d'un immeuble moyennant reprise des dettes hypothécaires dont la valeur dépasse celle de l'immeuble transféré, la juridiction précédente a toutefois considéré qu'en l'espèce, aucun préjudice n'avait été causé au recourant par l'acte dont il cherchait la révocation, étant donné que la valeur des charges grevant les immeubles (500'000 fr.) dépassait la valeur de la nue-propriété sur ceux-ci (309'000 fr.). Ce faisant, l'autorité cantonale a examiné les conséquences du transfert immobilier sur le patrimoine du débiteur comme si les actes de constitution de l'usufruit et de la cédule hypothécaire avaient eu lieu préalablement au transfert litigieux. Or, selon les constatations de l'arrêt querellé - qui ne sont pas remises en cause conformément aux exigences de motivation susrappelées (cf.</w:t>
      </w:r>
    </w:p>
    <w:p>
      <w:r>
        <w:t>supra consid. 2.2) -, il y a lieu d'admettre que la constitution de la cédule hypothécaire et de l'usufruit ont été faites simultanément aux transferts immobiliers litigieux. Afin de déterminer si la condition du préjudice causé au créancier était remplie, il convenait ainsi de comparer le patrimoine du débiteur tel qu'il existait avant l'exécution de la combinaison d'actes juridiques mise en place par le débiteur et après celle-ci. Initialement, le patrimoine du débiteur comprenait deux immeubles dont la valeur totale se situait entre 630'000 fr. et 660'000 fr., selon l'estimation de l'expert immobilier - non contestée par les parties (cf.</w:t>
      </w:r>
    </w:p>
    <w:p>
      <w:r>
        <w:t>supra consid. 2.2) - et après déduction des dettes hypothécaires. Comme le souligne à juste titre le recourant, le débiteur ne s'est donc en l'espèce pas défait d'immeubles dont la valeur était inférieure à celle des dettes hypothécaires les grevant. Une fois les actes juridiques inscrits au Registre foncier, le débiteur ne disposait plus, en commun avec son épouse, que d'un usufruit sur les immeubles considérés, étant au demeurant rappelé que lorsque le débiteur a constitué en sa faveur ou en faveur d'un tiers un usufruit, la révocabilité de l'acte demeure indépendamment du rapport entre prestation et contre-prestation, dès lors que cet acte a pour effet de substituer à un bien facilement réalisable un droit relativement saisissable ( art. 93 al. 1 LP ), péjorant ainsi la position du créancier dans l'exécution forcée ( ATF 130 III 235 consid. 2.1.1 et les références [en lien avec l' art. 286 al. 2 ch. 2 LP et la constitution d'un droit d'habitation]; H.-R. SCHÜPBACH, Droit et action révocatoires, 1997, n. 80 ad art. 286 LP ). La combinaison d'actes juridiques considérée a donc en l'espèce porté atteinte aux droits d'exécution du recourant à l'encontre de son débiteur, de sorte que la condition (objective) du préjudice causé au créancier est remplie.</w:t>
      </w:r>
    </w:p>
    <w:p>
      <w:r>
        <w:rPr>
          <w:b/>
        </w:rPr>
        <w:t>E. 3.5</w:t>
      </w:r>
    </w:p>
    <w:p>
      <w:r>
        <w:t>La cour cantonale nie également la légitimation passive des intimés, ce que le recourant conteste sans toutefois se référer expressément à l' art. 290 LP (cf.</w:t>
      </w:r>
    </w:p>
    <w:p>
      <w:r>
        <w:t>supra consid. 2.1). Selon cette disposition, l'action révocatoire est intentée contre les personnes qui ont traité avec le débiteur ou qui ont bénéficié d'avantages de sa part, contre leurs héritiers ou leurs autres successeurs à titre universel et contre les tiers de mauvaise foi. En l'occurrence, les intimés ont non seulement traité avec le débiteur mais ont également acquis les immeubles sortis du patrimoine de celui-ci par l'effet de l'acte attaqué ( ATF 135 III 265 consid. 3). Dans ces circonstances, ils ont la légitimation passive, étant précisé que - contrairement à ce qu'ils semblent prétendre - la question de leur enrichissement n'est pas déterminante à cet égard et que les effets de la révocation n'ont pas à être examinés à ce stade de la procédure.</w:t>
      </w:r>
    </w:p>
    <w:p>
      <w:r>
        <w:rPr>
          <w:b/>
        </w:rPr>
        <w:t>E. 3.5.1</w:t>
      </w:r>
    </w:p>
    <w:p>
      <w:r>
        <w:t>Au vu des éléments qui précèdent, il convient d'admettre le recours. La cour cantonale n'ayant pas examiné si les autres conditions de l' art. 288 LP (intention dolosive et caractère reconnaissable de celle-ci; cf.</w:t>
      </w:r>
    </w:p>
    <w:p>
      <w:r>
        <w:t>supra consid. 3.3.2) sont remplies, il convient de lui renvoyer la cause ( art. 107 al. 2 LTF ) afin qu'elle procède à cet examen.</w:t>
      </w:r>
    </w:p>
    <w:p>
      <w:r>
        <w:rPr>
          <w:b/>
        </w:rPr>
        <w:t>E. 4</w:t>
      </w:r>
    </w:p>
    <w:p>
      <w:r>
        <w:t>En conclusion, le recours est admis et la cause est renvoyée à l'autorité cantonale pour nouvelle décision dans le sens des considérants. Les frais judiciaires et les dépens sont mis solidairement à la charge des intimés, qui succombent (art. 66 al. 1 et 5, 68 al. 1, 2 et 4 LTF). Il appartiendra à la cour cantonale de statuer à nouveau sur les frais et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