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378/2014 vom 30. Juni 2014</w:t>
      </w:r>
    </w:p>
    <w:p>
      <w:r>
        <w:t>Bundesgericht, 2014-06-30, FR</w:t>
      </w:r>
    </w:p>
    <w:p>
      <w:r>
        <w:rPr>
          <w:b/>
        </w:rPr>
        <w:t xml:space="preserve">Quelle: </w:t>
      </w:r>
      <w:r>
        <w:t>https://mcp.opencaselaw.ch/entscheid/bger_5A_378_2014</w:t>
      </w:r>
    </w:p>
    <w:p>
      <w:r>
        <w:t>FR: TF 5A 378/2014 du 30 juin 2014</w:t>
      </w:r>
    </w:p>
    <w:p>
      <w:r>
        <w:t>IT: TF 5A 378/2014 del 30 giugno 2014</w:t>
      </w:r>
    </w:p>
    <w:p>
      <w:pPr>
        <w:pStyle w:val="Heading2"/>
      </w:pPr>
      <w:r>
        <w:t>Regeste</w:t>
      </w:r>
    </w:p>
    <w:p>
      <w:r>
        <w:t>droit de garde | Droit de la famille</w:t>
      </w:r>
    </w:p>
    <w:p>
      <w:pPr>
        <w:pStyle w:val="Heading2"/>
      </w:pPr>
      <w:r>
        <w:t>Erwägungen</w:t>
      </w:r>
    </w:p>
    <w:p>
      <w:r>
        <w:rPr>
          <w:b/>
        </w:rPr>
        <w:t>E. 1</w:t>
      </w:r>
    </w:p>
    <w:p>
      <w:r>
        <w:t>Le recours a été déposé en temps utile - compte tenu des féries de Pâques (art. 100 al. 1 cum art. 46 al. 1 let. a LTF ) - contre une décision rendue en matière de protection de l'enfant (art. 72 al. 2 let. b ch. 7 LTF) par une autorité cantonale de dernière instance ayant statué sur recours ( art. 75 al. 1 et 2 LTF ). Comme la question soumise au Tribunal fédéral est de nature non pécuniaire, le recours est ouvert indépendamment de la valeur litigieuse (arrêt 5A_763/2011 du 7 mars 2012 consid. 1). La recourante, qui a succombé devant l'autorité cantonale, a qualité pour recourir ( art. 76 al. 1 LTF ).</w:t>
      </w:r>
    </w:p>
    <w:p>
      <w:r>
        <w:rPr>
          <w:b/>
        </w:rPr>
        <w:t>E. 2.1</w:t>
      </w:r>
    </w:p>
    <w:p>
      <w:r>
        <w:t>Le recours en matière civile peut être interjeté pour violation du droit, tel qu'il est délimité par les art. 95 et 96 LTF , y compris les droits constitutionnels ( ATF 134 III 379 consid. 1.2 p. 382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140 III 86 consid. 2 p. 88 s.; 135 II 384 consid. 2.2.1 p. 389; 135 III 397 consid. 1.4 p. 400 s.). Le Tribunal fédéral ne peut entrer en matière sur la violation d'un droit constitutionnel que si le grief a été invoqué et motivé de manière précise par la partie recourante ( art. 106 al. 2 LTF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 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 ATF 137 III 226 consid. 4.2 p. 234; 134 V 53 consid. 4.3 p. 62; 133 II 249 consid. 1.4.3 p. 254 s.); encore faut-il que la décision en soit viciée dans son résultat ( ATF 129 I 8 consid. 2.1 p. 9).</w:t>
      </w:r>
    </w:p>
    <w:p>
      <w:r>
        <w:rPr>
          <w:b/>
        </w:rPr>
        <w:t>E. 3</w:t>
      </w:r>
    </w:p>
    <w:p>
      <w:r>
        <w:t>La recourante fait valoir que la cour cantonale a violé les art. 29 al. 2 Cst. , 6 et 8 CEDH, ainsi que les art. 314 al. 1 et 446 al. 1 CC, en lien avec l'application des maximes inquisitoire et d'office. A l'appui de son grief, la recourante reproche à la cour cantonale de ne s'être fondée que sur les " éléments de conviction " fournis par le SPJ et d'avoir rejeté ses requêtes tendant à la mise en oeuvre d'une expertise pédopsychiatrique, à l'audition de témoins et à la tenue de débats. Selon la recourante, compte tenu de la gravité de la mesure litigieuse, les juges cantonaux ne pouvaient, sans violer les maximes inquisitoire et d'office, " s'en remettre purement et simplement, sans vérifier par elle-même jusqu'à la certitude, les éléments de conviction pertinents ". En refusant notamment d'ordonner une expertise, les juges cantonaux auraient ainsi manqué " à l'obligation de s'assurer de l'existence, de la nature et de la gravité d'un préjudice pour la santé et le développement des enfants (...) par la vie commune avec leur mère seule (...) ".</w:t>
      </w:r>
    </w:p>
    <w:p>
      <w:r>
        <w:rPr>
          <w:b/>
        </w:rPr>
        <w:t>E. 3.1.1</w:t>
      </w:r>
    </w:p>
    <w:p>
      <w:r>
        <w:t>Tel qu'il est garanti par les art. 29 al. 2 Cst. et 6 CEDH - lequel n'offre pas de protection plus étendue que les garanties constitutionnelles nationales ( ATF 130 I 312 consid. 5.1 p. 332 et les arrêts cités; arrêt 5D_61/2008 du 20 août 2008 consid. 4.2) -, le droit d'être entendu comprend notamment le droit pour l'intéressé de prendre connaissance du dossier,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Lorsqu'il contrôle l'application du droit d'être entendu sous l'angle de l' art. 29 al. 2 Cst. , le Tribunal fédéral en détermine le contenu et la portée en fonction de la situation concrète et des intérêts en présence ( ATF 123 I 63 consid. 2d p. 68; 111 Ia 273 consid. 2b p. 274). Selon la nature de l'affaire, le contenu et l'étendue du droit d'être entendu peuvent varier. Il n'implique en général pas le droit de s'exprimer oralement ( ATF 125 I 209 consid. 9b p. 219 et l'arrêt cité), ni celui d'obtenir l'audition de témoins ( ATF 130 II 425 consid. 2.1 p. 428 s.). Quant au droit à la preuve,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136 I 229 consid. 5.3 p. 236 s.; 134 I 140 consid. 5.3 p. 148; 115 Ia 97 consid. 5b p. 101). Ce principe vaut même lorsque la maxime inquisitoire s'applique ( ATF 130 III 734 consid. 2.2.3 p. 735 et les arrêts cités). Celle-ci ne dispense par ailleurs pas les parties de collaborer à la procédure et d'indiquer leurs moyens de preuve en temps utile ( ATF 128 III 411 consid. 3.2.1 p. 413; arrêt 5A_661/2011 du 10 février 2012 consid. 4.2.1 in fine et les arrêts cités).</w:t>
      </w:r>
    </w:p>
    <w:p>
      <w:r>
        <w:rPr>
          <w:b/>
        </w:rPr>
        <w:t>E. 3.1.2</w:t>
      </w:r>
    </w:p>
    <w:p>
      <w:r>
        <w:t>Dans les affaires relatives à la protection de l'enfant, le juge est lié à la maxime inquisitoire en ce qui concerne l'établissement des faits et l'appréciation des preuves ( art. 446 CC applicable par renvoi de l' art. 314 al. 1 CC ).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 AUER/MARTI, Basler Kommentar, Erwachsenenschutz, 2011, n° 8 ad art. 446 CC ). Abstraction faite d'exceptions qui ne sont pas réalisées dans le cas présent (cf. à ce sujet: Hohl, Procédure civile, t. I, 2001, n° 1045 p. 197),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(arrêt 5A_798/2009 du 4 mars 2010 consid. 3.1 et les arrêts cités, non publié aux ATF 136 I 178 ), qui trouve sa limite dans l'interdiction de l'arbitraire ( ATF 127 I 38 consid. 2a p. 41; 124 IV 86 consid. 2a p. 88).</w:t>
      </w:r>
    </w:p>
    <w:p>
      <w:r>
        <w:rPr>
          <w:b/>
        </w:rPr>
        <w:t>E. 3.2</w:t>
      </w:r>
    </w:p>
    <w:p>
      <w:r>
        <w:t>En l'occurrence, il apparaît que l'autorité précédente a procédé à une appréciation des preuves disponibles et a jugé celles requises par la recourante comme n'étant pas pertinentes pour l'issue du litige compte tenu des rapports du SPJ et des autres preuves déjà administrées. De nature essentiellement appellatoire, les critiques que la recourante forme à cet égard ne permettent pas de retenir que la cour cantonale aurait versé dans l'arbitraire en considérant qu'elle était suffisamment renseignée et que le dossier était en état d'être jugé. Elle se borne en effet à exposer son point de vue selon lequel les mesures probatoires qu'elle sollicite sont nécessaires au jugement de la cause, sans démontrer, ni même alléguer, que l'appréciation anticipée des preuves à laquelle s'est livrée l'autorité cantonale serait arbitraire, c'est-à-dire manifestement insoutenable. Insuffisamment motivé (cf. supra consid. 2.2; art. 106 al. 2 LTF ), le grief apparaît ainsi irrecevable.</w:t>
      </w:r>
    </w:p>
    <w:p>
      <w:r>
        <w:rPr>
          <w:b/>
        </w:rPr>
        <w:t>E. 4</w:t>
      </w:r>
    </w:p>
    <w:p>
      <w:r>
        <w:t>Invoquant une violation des art. 310 al. 1 CC et 8 CEDH, la recourante reproche en outre à l'autorité cantonale de lui avoir retiré le droit de garde sur ses enfants sans que l'existence d'un préjudice ou d'un danger pour la santé et/ou le développement de ceux-ci n'ait été prouvé. Elle soutient que le fait qu'un enfant puisse être accueilli dans un cadre plus propice à son éducation n'est pas suffisant pour justifier une ingérence aussi grave dans le droit au respect de la vie familiale; il faudrait, selon elle, qu'il existe en sus: " violences ou maltraitance, abus sexuels, déficit affectif-incapacité affective, état de santé inquiétant, déséquilibre psychique ".</w:t>
      </w:r>
    </w:p>
    <w:p>
      <w:r>
        <w:rPr>
          <w:b/>
        </w:rPr>
        <w:t>E. 4.1</w:t>
      </w:r>
    </w:p>
    <w:p>
      <w:r>
        <w:t>L' art. 8 par. 1 CEDH - de même que l' art. 13 al. 1 Cst. ( ATF 129 II 215 consid. 4.2 p. 218 s.; 126 II 377 consid. 7 p. 394) - garantit notamment le droit à la vie privée et familiale. La suppression du droit de garde des père et mère constitue une atteinte grave au droit au respect de la vie privée et familiale au sens de l' art. 8 par. 2 CEDH (arrêt 5P.8/2007 du 6 juin 2008 consid. 5.1; Marie-Laure Papaux Van Delden, Le placement de l'enfant: analyse de la jurisprudence de Strasbourg à l'attention du praticien et du législateur, in Mélanges P.-H. Steinauer, 2013, p. 227 ss [229, 231]). En droit suisse, cette ingérence des autorités publiques dans l'exercice des droits parentaux est prévue par l' art. 310 CC . Dans ce domaine, la réglementation du Code civil suisse est conforme à l' art. 8 CEDH (arrêt 5P.257/2003 du 18 septembre 2003 consid. 2.1 et les arrêts cités; Papaux Van Delden, op. cit., p. 231). Pour qu'une telle ingérence soit licite, encore faut-il que cette réglementation ait été correctement appliquée; le critère essentiel qui doit guider les autorités est le bien, autant physique que psychique, de l'enfant ( ATF 136 I 178 consid. 5.2 p.180; 120 Ia 369 consid. 4b p. 375; 107 II 301 consid. 6 p. 304 et les arrêts cités). Le principe de proportionnalité doit en outre être respecté: le retrait de l'enfant de son milieu familial doit être le seul moyen de garantir ses droits. C'est à la lumière de l'ensemble des circonstances que la pertinence et la suffisance des motifs invoqués pour justifier la restriction aux droits parentaux doit être analysée (Papaux Van Delden, op. cit., p. 230, 233 et les arrêts de la CourEDH cités).</w:t>
      </w:r>
    </w:p>
    <w:p>
      <w:r>
        <w:rPr>
          <w:b/>
        </w:rPr>
        <w:t>E. 4.2</w:t>
      </w:r>
    </w:p>
    <w:p>
      <w:r>
        <w:t>Selon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(arrêts 5A_335/2012 du 21 juin 2012 consid. 3.1; 5A_238/2010 du 11 juin 2010 consid. 4, publié in FamPra.ch 2010 p. 713). Le danger doit être tel qu'il soit impossible de le prévenir par les mesures moins énergiques prévues aux art. 307 et 308 CC ; la cause de la mesure doit résider dans le fait que le développement corporel, intellectuel ou moral de l'enfant n'est pas assez protégé ou encouragé dans le milieu de ses père et mère ou dans le milieu où ceux-ci l'ont placé (arrêts 5A_729/2013 du 11 décembre 2013 consid. 4.1; 5A_835/2008 du 12 février 2009 consid. 4.1 et les références; Meier/Stettler, Droit de la filiation, 5ème éd., 2014, n° 1296 p. 850 et les références). Comme l'application des art. 310 ss CC suppose une pesée d'intérêts de la part des autorités cantonales, le Tribunal fédéral fait preuve de retenue en revoyant leurs décisions ( ATF 120 II 384 consid. 5b p. 387), ce qui équivaut pratiquement à se cantonner sur le terrain de l'arbitraire ( ATF 136 I 178 consid. 5.2 p. 180). Il n'intervient ainsi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135 III 121 consid. 2 p. 123 s.; 133 III 201 consid. 5.4 p. 211). Il incombe dès lors au recourant de démontrer, par une argumentation précise, en quoi la décision attaquée repose sur une appréciation du bien de l'enfant manifestement insoutenable; il ne peut se borner à critiquer la décision attaquée comme il le ferait en procédure d'appel, où l'autorité jouit d'un libre pouvoir d'examen ( ATF 130 I 258 consid. 1.3 p. 261 s.; 117 Ia 10 consid. 4b p. 11 s. et les arrêts cités).</w:t>
      </w:r>
    </w:p>
    <w:p>
      <w:r>
        <w:rPr>
          <w:b/>
        </w:rPr>
        <w:t>E. 4.3</w:t>
      </w:r>
    </w:p>
    <w:p>
      <w:r>
        <w:t>Au vu des faits retenus, à propos desquels la recourante n'établit aucun arbitraire ( art. 9 Cst. ), la Chambre des curatelles ne saurait se voir reprocher d'avoir violé le droit fédéral et conventionnel et, en particulier le principe de proportionnalité, en considérant, sur la base des rapports et déterminations du SPJ, que le retrait du droit de garde de la recourante est encore actuellement la seule mesure susceptible de répondre à l'intérêt supérieur des enfants en leur offrant un cadre éducatif structurant et stable. Procédant à une pesée des intérêts en présence - soit une question d'appréciation que le Tribunal fédéral ne revoit qu'avec retenue -, les juges cantonaux ont tenu compte de manière adéquate des éléments susceptibles d'entrer en considération pour apprécier l'intérêt des enfants. Ils ont en particulier pris en compte l'inaptitude - actuelle - de la recourante dans l'éducation de ses enfants ainsi que son incapacité à donner des réponses à certains de leurs comportements, dont notamment celui de C.________ qui demande une forte mobilisation institutionnelle et une présence importante pour l'aider à gérer ses angoisses. De tels motifs apparaissent, en l'état, propres à justifier la mesure querellée et la recourante ne parvient pas à démontrer en quoi la cour cantonale aurait abusé de son pouvoir d'appréciation en leur attribuant un poids prépondérant. Contrairement à ce que semble soutenir la recourante, la mise en danger de l'enfant ne se matérialise pas seulement dans les violences ou la maltraitance du ou des parent (s) concerné (s), mais peut, comme en l'espèce, résulter de l'inaptitude ou de la négligence grave dans l'éducation ou la prise en charge des enfants, quelles qu'en soient les causes (Meier/Stettler, op. cit., n° 1297 p. 851). Dans cette mesure, la pesée des intérêts effectuée par la cour cantonale ne prête pas le flanc à la critique. Pour autant que recevable, le grief apparaît dès lors infondé. Il convient encore de préciser que les mesures de protection de l'enfant ( art. 307 ss CC ) peuvent être modifiées en tout temps en cas de changement des circonstances ( art. 313 al. 1 CC ; ATF 120 II 384 consid. 4d p. 386). L'évolution de la situation pourra dès lors, au besoin, conduire à une adaptation des mesures qui ont été prises, ce que les juges précédents ont au demeurant clairement réservé.</w:t>
      </w:r>
    </w:p>
    <w:p>
      <w:r>
        <w:rPr>
          <w:b/>
        </w:rPr>
        <w:t>E. 5</w:t>
      </w:r>
    </w:p>
    <w:p>
      <w:r>
        <w:t>Vu ce qui précède, le recours doit être rejeté, dans la mesure de sa recevabilité. La recourante, qui succombe, supportera les frais judiciaires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