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5A_377/2009 vom 3. September 2009</w:t>
      </w:r>
    </w:p>
    <w:p>
      <w:r>
        <w:t>Bundesgericht, 2009-09-03, FR</w:t>
      </w:r>
    </w:p>
    <w:p>
      <w:r>
        <w:rPr>
          <w:b/>
        </w:rPr>
        <w:t xml:space="preserve">Quelle: </w:t>
      </w:r>
      <w:r>
        <w:t>https://mcp.opencaselaw.ch/entscheid/bger_5A_377_2009</w:t>
      </w:r>
    </w:p>
    <w:p>
      <w:r>
        <w:t>FR: TF 5A_377/2009 du 3 septembre 2009</w:t>
      </w:r>
    </w:p>
    <w:p>
      <w:r>
        <w:t>IT: TF 5A_377/2009 del 3 settembre 2009</w:t>
      </w:r>
    </w:p>
    <w:p>
      <w:pPr>
        <w:pStyle w:val="Heading2"/>
      </w:pPr>
      <w:r>
        <w:t>Erwägungen</w:t>
      </w:r>
    </w:p>
    <w:p>
      <w:r>
        <w:rPr>
          <w:b/>
        </w:rPr>
        <w:t>E. 1</w:t>
      </w:r>
    </w:p>
    <w:p>
      <w:r>
        <w:t>La décision de mesures protectrices de l'union conjugale ( art. 172 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La contestation est de nature non pécuniaire puisqu'elle porte exclusivement sur les modalités du droit de visite. Le recours en matière civile est donc recevable indépendamment de la question de la valeur litigieuse. La décision, rendue par une autorité de dernière instance cantonale ( art. 75 LTF ), a par ailleurs été entreprise en temps utile ( art. 100 al. 1 LTF ), par la partie qui a succombé dans ses conclusions prises devant l'autorité précédente ( art. 76 al. 1 LTF ), si bien que le recours en matière civile est en principe recevable.</w:t>
      </w:r>
    </w:p>
    <w:p>
      <w:r>
        <w:rPr>
          <w:b/>
        </w:rPr>
        <w:t>E. 2</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w:t>
      </w:r>
    </w:p>
    <w:p>
      <w:r>
        <w:rPr>
          <w:b/>
        </w:rPr>
        <w:t>E. 3</w:t>
      </w:r>
    </w:p>
    <w:p>
      <w:r>
        <w:t>La Cour de justice a rejeté les conclusions de la recourante tendant à l'exercice d'un droit de visite surveillé. Les juges cantonaux ont motivé leur décision en tenant compte du fait qu'aucune procédure pénale n'avait été engagée à l'encontre du père en rapport avec des violences à l'égard de ses enfants; la recourante avait par ailleurs elle-même indiqué que les comportements violents de son ex-époux à l'encontre de A.________ avaient cessé lorsque celle-ci avait atteint l'âge de cinq ans et qu'il n'aurait jamais eu de tels comportements à l'égard de B.________.</w:t>
      </w:r>
    </w:p>
    <w:p>
      <w:r>
        <w:t>Appelée ensuite à confirmer les mesures d'éloignement fondées sur l' art. 28b CC , ordonnées à titre préprovisionnel par le Tribunal de première instance le 5 novembre 2008 et confirmées le 7 janvier 2009, la Cour de justice a relevé que différents témoignages avaient permis de rendre vraisemblables les accusations de violence et de harcèlement formulées par la recourante à l'encontre de son mari, comportements qu'elle lui reprochait d'avoir adoptés tant envers elle qu'envers ses enfants. En transgressant les injonctions d'éloignement qui lui avaient été signifiées par le juge d'instruction et par les autorités de justice civile, l'intimé avait en outre créé un climat conflictuel et peu sécurisant, préjudiciable au bien des enfants. La cour cantonale a ainsi confirmé les mesures d'éloignement ordonnées par le Tribunal de première instance, tout en précisant qu'elles ne remettaient toutefois pas en cause le droit de visite.</w:t>
      </w:r>
    </w:p>
    <w:p>
      <w:r>
        <w:rPr>
          <w:b/>
        </w:rPr>
        <w:t>E. 4</w:t>
      </w:r>
    </w:p>
    <w:p>
      <w:r>
        <w:t>La recourante estime que, pour parvenir à la conclusion qu'un droit de visite non surveillé pouvait être accordé au père, la cour cantonale aurait établi les faits de manière incomplète et inexacte et procédé à une appréciation arbitraire des preuves. Les juges cantonaux n'auraient ainsi pas tenu compte de certains faits, notamment le conflit de loyauté devant lequel le père plaçait ses enfants lorsqu'il les rencontrait, les plaintes pénales déposées par la mère par laquelle celle-ci dénonçait les comportements violents de l'intimé envers elle et sa fille ou encore les actes de violences physique et psychique que l'intimé faisait subir à celle-ci, actes pourtant attestés par différents témoignages écrits et tous produits dans le cadre de la procédure. Sans retenir ces différents éléments pour fixer les modalités du droit de visite, la Cour de justice aurait pourtant reconnu le comportement harcelant et violent de l'intimé pour valider les mesures d'éloignement ordonnées par le Tribunal de première instance, empêchant ainsi l'intimé de s'approcher du domicile et de l'école des enfants ainsi que de prendre contact avec eux. Le libre exercice du droit de visite serait ainsi en totale contradiction avec ces mesures de protection de la personnalité.</w:t>
      </w:r>
    </w:p>
    <w:p>
      <w:r>
        <w:t>Contestant son caractère dangereux, l'intimé soutient que les autorités pénales auraient refusé d'entrer en matière sur les procédures pénales introduites par la recourante au sujet des prétendues menaces qu'il aurait proférées à l'encontre de ses enfants. Les témoignages sur lesquels se fonde son épouse pour obtenir l'annulation de la décision cantonale seraient par ailleurs isolés ou ne pourraient être considérés comme étant dignes de foi. Enfin, l'intimé se réfère au rapport du SPMi, qui préconise un libre droit de visite, affirmant que la recourante ne le critique en rien.</w:t>
      </w:r>
    </w:p>
    <w:p>
      <w:r>
        <w:rPr>
          <w:b/>
        </w:rPr>
        <w:t>E. 5.1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rPr>
          <w:b/>
        </w:rPr>
        <w:t>E. 5.2</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p. 298; 123 III 445 consid. 3b p. 451). Selon l' art. 274 al. 1 CC ,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 art. 274 al. 2 CC , des indices concrets de mise en danger du bien de l'enfant. Il ne suffit pas que ce dernier risque abstraitement de subir une mauvaise influence pour qu'un droit de visite surveillé soit instauré ( ATF 122 III 404 consid. 3c; arrêt 5C.20/2006 du 4 avril 2006; 5P.131/2006 du 25 août 2006 consid. 3 publié in FamPra 2007 p. 167).</w:t>
      </w:r>
    </w:p>
    <w:p>
      <w:r>
        <w:rPr>
          <w:b/>
        </w:rPr>
        <w:t>E. 5.3.1</w:t>
      </w:r>
    </w:p>
    <w:p>
      <w:r>
        <w:t>L' art. 28b CC , entré en vigueur le 1er juillet 2007,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 5A_112/2008 du 14 avril 2008 consid. 2.1; FF 2005 p. 6450; cf. également ATF 129 IV 262 consid. 2.3 et les références).</w:t>
      </w:r>
    </w:p>
    <w:p>
      <w:r>
        <w:rPr>
          <w:b/>
        </w:rPr>
        <w:t>E. 5.3.2</w:t>
      </w:r>
    </w:p>
    <w:p>
      <w:r>
        <w:t>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 art. 273 ss CC ). Le juge prendra alors la mesure adaptée à chaque cas, le principe de proportionnalité permettant la prise en compte des différents intérêts (FF 2005 p. 6451).</w:t>
      </w:r>
    </w:p>
    <w:p>
      <w:r>
        <w:rPr>
          <w:b/>
        </w:rPr>
        <w:t>E. 5.4</w:t>
      </w:r>
    </w:p>
    <w:p>
      <w:r>
        <w:t>La décision rendue par la Cour de justice est contradictoire. Statuant sur la surveillance du droit de visite, les juges cantonaux ont relevé que les comportements violents de l'intimé à l'encontre de A.________ avaient cessé depuis que celle-ci avait atteint l'âge de cinq ans et que B.________ n'avait fait l'objet d'aucune violence. Ils se sont alors principalement fondés sur le rapport du SPMi, qui préconisait un libre droit de visite à exercer, dans un premier temps, un jour par semaine. Ce rapport avait toutefois été rendu le 17 juillet 2008, à savoir antérieurement aux événements ayant donné lieu aux mesures provisionnelles d'éloignement ordonnées par le Tribunal de première instance. Appelée ensuite à valider ces dernières, la Cour de justice s'est alors référée à deux témoignages ultérieurs au rapport précité, reçus en date du 28 octobre 2008 et 6 février 2009. La cour cantonale a ainsi estimé que lesdits témoignages - provenant de la directrice de l'école des enfants et de celle du foyer qui avait provisoirement accueilli la mère et les enfants - permettaient de rendre vraisemblables les actes de violences et de harcèlement que la recourante reprochait à son mari d'avoir commis tant à son encontre qu'à celle de ses enfants. Les juges cantonaux ont ainsi confirmé les mesures d'éloignement prononcées à titre provisionnel par le premier juge en interdisant à l'intimé non seulement d'approcher les enfants, mais également d'entrer en contact avec eux, en dehors du droit de visite. En considérant vraisemblables les allégations de violences et de harcèlement - à savoir un comportement susceptible de causer une grande peur et survenant de manière répétée (consid. 5.3.1 supra) -, puis en confirmant les mesures d'éloignement, la cour cantonale a ainsi implicitement reconnu une mise en danger concrète du bien des enfants. La Cour de justice ne pouvait donc, sans arbitraire, refuser à la mère la surveillance du droit de visite en jugeant non avérés les actes de violence sur les enfants, pour ensuite interdire à leur père de s'en approcher, reconnaissant comme étant vraisemblables les accusations de violence et de harcèlement formulées par la mère et attestées par des témoignages dont elle n'a pas tenu compte pour se prononcer sur la surveillance du droit de visite.</w:t>
      </w:r>
    </w:p>
    <w:p>
      <w:r>
        <w:rPr>
          <w:b/>
        </w:rPr>
        <w:t>E. 6</w:t>
      </w:r>
    </w:p>
    <w:p>
      <w:r>
        <w:t>En conclusion, le recours est admis. La cause est renvoyée à la cour cantonale afin que celle-ci définisse les modalités d'exercice du droit de visite, en tenant compte du considérant précédent et du fait que les enfants ne voient plus leur père depuis le 10 mars 2008. La requête d'assistance judiciaire de la recourante est admise et son conseil lui sera désigné comme avocat d'office ( art. 64 al. 1 LTF ). Les frais judiciaires sont mis à la charge de l'intimé qui succombe ( art. 66 al. 1 LTF ). Celui-ci versera à la recourante une indemnité de dépens d'un montant de 1'500 fr. ( art. 68 al. 1 LTF ). Au cas où ceux-ci ne pourraient être recouvrés, la Caisse du Tribunal fédéral versera à Me Nathalie Landry une indemnité de 1'500 fr.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