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5A_376/2026 vom 7. Mai 2026</w:t>
      </w:r>
    </w:p>
    <w:p>
      <w:r>
        <w:t>Bundesgericht, 2026-05-07, DE</w:t>
      </w:r>
    </w:p>
    <w:p>
      <w:r>
        <w:rPr>
          <w:b/>
        </w:rPr>
        <w:t xml:space="preserve">Quelle: </w:t>
      </w:r>
      <w:r>
        <w:t>https://mcp.opencaselaw.ch/entscheid/bger_5A_376_2026</w:t>
      </w:r>
    </w:p>
    <w:p>
      <w:r>
        <w:t>FR: TF 5A_376/2026 du 7 mai 2026</w:t>
      </w:r>
    </w:p>
    <w:p>
      <w:r>
        <w:t>IT: TF 5A_376/2026 del 7 maggio 2026</w:t>
      </w:r>
    </w:p>
    <w:p>
      <w:pPr>
        <w:pStyle w:val="Heading2"/>
      </w:pPr>
      <w:r>
        <w:t>Erwägungen</w:t>
      </w:r>
    </w:p>
    <w:p>
      <w:r>
        <w:rPr>
          <w:b/>
        </w:rPr>
        <w:t>E. 1</w:t>
      </w:r>
    </w:p>
    <w:p>
      <w:r>
        <w:t>Angefochten ist ein kantonal letztinstanzlicher Entscheid, welcher einzig noch die Bezeichnung der Person des eingesetzten Beistandes betrifft. Die Beschwerde in Zivilsachen ist zulässig ( Art. 72 Abs. 1, Art. 75 Abs. 1 und Art. 90 BGG ), aber der mögliche Anfechtungsgegenstand im bundesgerichtlichen Verfahren ist auf die genannte Frage beschränkt. Soweit anderes oder abstrakt die Feststellung der Verletzung von Grundrechten etc. verlangt wird, ist auf die Beschwerde von vornherein nicht einzutreten.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t>Das Obergericht hat, soweit die Beschwerde überhaupt den möglichen Anfechtungsgegenstand betraf, eine Gehörsverletzung verneint, weil die Beschwerdeführerin (welche im KESB-Verfahren und im Verfahren vor dem Bezirksrat noch anwaltlich vertreten war) aktenkundig mündlich angehört worden sei und sie sich auch schriftlich mehrfach geäussert habe, und sodann erwogen, entgegen der Behauptung der Beschwerdeführerin habe sich der Bezirksrat mit der Eignung der Beistandsperson befasst, im Übrigen fehle es aber an einer Auseinandersetzung mit den Erwägungen des bezirksrätlichen Entscheides oder wenigstens einer Bezugnahme auf diesen Entscheid, weshalb auf die Beschwerde insofern nicht einzutreten sei; was die Kostenfrage anbelange, sei die Beschwerde abzuweisen, weil entgegen der Auffassung der Beschwerdeführerin (auch) ein Verfahren betreffend Kindesschutzmassnahmen kostenpflichtig sei.</w:t>
      </w:r>
    </w:p>
    <w:p>
      <w:r>
        <w:t>Die an das Bundesgericht gemachten Eingaben der Beschwerdeführerin bestehen weitestgehend aus einer Auflistung zahlreicher Grundrechte bzw. der abstrakten Behauptung von deren Verletzung sowie Ausführungen zu ausserhalb des möglichen Verfahrensgegenstandes stehenden Dingen (namentlich "ihre Entfernung aus der Familienwohnung", die Regelung des begleitet angeordneten Besuchsrechts u.ä.m.); darauf kann von vornherein nicht eingetreten werden. An einer nachvollziehbaren Darlegung, inwiefern im Kontext mit der Bezeichnung von C.________ als Beistand eine Rechtsverletzung vorliegen soll, fehlt es. Eine konkrete Bezugnahme liegt auch insofern nicht vor, als die Beschwerdeführerin allgemein dessen Amtsführung kritisiert und ihm vorwirft, wegen ihm die Kinder nicht zu sehen, denn dies beschlägt nicht die Bezeichnung der Person des Beistandes im Ausgangsentscheid und ohnehin wäre das Bundesgericht nicht für die verlangte Überprüfung von dessen Amtstätigkeit zuständig. Soweit sinngemäss behauptet wird, C.________ sei bereits vor seiner Ernennung vorbefasst und nicht neutral gewesen, nimmt die Beschwerdeführerin keinen Bezug auf die vorinstanzliche Feststellung, wonach sie sich bezüglich der Eignung von C.________ nicht mit dem bezirksgerichtlichen Entscheid auseinandergesetzt habe; insofern ist das sinngemässe Vorbringen im bundesgerichtlichen Verfahren neu und damit unzulässig ( Art. 99 Abs. 1 BGG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