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5A_376/2017 vom 23. Mai 2017</w:t>
      </w:r>
    </w:p>
    <w:p>
      <w:r>
        <w:t>Bundesgericht, 2017-05-23, DE</w:t>
      </w:r>
    </w:p>
    <w:p>
      <w:r>
        <w:rPr>
          <w:b/>
        </w:rPr>
        <w:t xml:space="preserve">Quelle: </w:t>
      </w:r>
      <w:r>
        <w:t>https://mcp.opencaselaw.ch/entscheid/bger_5A_376_2017</w:t>
      </w:r>
    </w:p>
    <w:p>
      <w:r>
        <w:t>FR: TF 5A_376/2017 du 23 mai 2017</w:t>
      </w:r>
    </w:p>
    <w:p>
      <w:r>
        <w:t>IT: TF 5A_376/2017 del 23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Zwischenentscheid über ein Ausstandsbegehren in einem nicht vermögensrechtlichen Zivilverfahren; dagegen steht die Beschwerde grundsätzlich offen ( Art. 72 Abs. 1, Art. 75 Abs. 1 und Art. 92 Abs. 1 BGG ).</w:t>
      </w:r>
    </w:p>
    <w:p>
      <w:r>
        <w:rPr>
          <w:b/>
        </w:rPr>
        <w:t>E. 2</w:t>
      </w:r>
    </w:p>
    <w:p>
      <w:r>
        <w:t>Der angefochtene Entscheid wurde dem Beschwerdeführer am 30. März 2017 zugestellt. Die in der Rechtsmittelbelehrung angeführte 30-tägige Beschwerdefrist ( Art. 100 Abs. 1 BGG ) wurde damit ausgelöst und lief am 29. April 2017 aus. Die am 14. Mai 2017 der Post übergebene Beschwerde ist somit verspätet und auf sie kann nicht eingetreten werden.</w:t>
      </w:r>
    </w:p>
    <w:p>
      <w:r>
        <w:t>Obwohl vom Beschwerdeführer nicht thematisiert, ist der Vollständigkeit halber festzuhalten, dass der Fristenstillstand gemäss Art. 46 Abs. 1 lit. a BGG nicht zur Anwendung kam. Beim zugrunde liegenden Verfahren geht es um die auf Art. 17 Abs. 2 PartG gestützte Aufhebung des Zusammenleben der Parteien, die im summarischen Verfahren abgewickelt wird ( Art. 305 lit. e ZPO ). Im bundesgerichtlichen Verfahren ist deshalb von einer vorsorglichen Massnahme im Sinn von Art. 98 BGG auszugehen, wie dies auch auf das Eheschutzverfahren zutrifft ( BGE 133 III 393 E. 5.1 S. 397; Urteile 5A_705/2013 vom 29. Juli 2014 E. 1.2; 5A_746/2014 vom 30. April 2015 E. 1.1). Im Übrigen ist der Begriff der vorsorglichen Massnahme im Sinn von Art. 98 BGG identisch mit demjenigen gemäss Art. 46 Abs. 2 BGG (Urteile 5A_177/2007 vom 1. Juni 2007 E. 1.3; 5D_41/2007 vom 27. November 2007 E. 3.2; 5A_326/2009 vom 24. Dezember 2009 E. 1.1), weshalb der Fristenstillstand, wie vorstehend erwähnt, nicht zur Anwendung kommt.</w:t>
      </w:r>
    </w:p>
    <w:p>
      <w:r>
        <w:rPr>
          <w:b/>
        </w:rPr>
        <w:t>E. 3</w:t>
      </w:r>
    </w:p>
    <w:p>
      <w:r>
        <w:t>Infolge Ablaufes der Rechtsmittelfrist erweist sich die Beschwerde als offensichtlich unzulässig, weshalb der Präsident im vereinfachten Verfahren entscheidet ( Art. 108 Abs. 1 lit. a BGG ).</w:t>
      </w:r>
    </w:p>
    <w:p>
      <w:r>
        <w:rPr>
          <w:b/>
        </w:rPr>
        <w:t>E. 4</w:t>
      </w:r>
    </w:p>
    <w:p>
      <w:r>
        <w:t>Weil die Beschwerde als von Anfang an aussichtslos zu bezeichnen ist, fehlt es an den materiellen Voraussetzungen der unentgeltlichen Rechtspflege ( Art. 64 Abs. 1 BGG ) und ist das entsprechende Gesuch abzuweisen.</w:t>
      </w:r>
    </w:p>
    <w:p>
      <w:r>
        <w:t>Angesichts der konkreten Umstände rechtfertigt es sich jedoch,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