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5A_374/2026 vom 4. Mai 2026</w:t>
      </w:r>
    </w:p>
    <w:p>
      <w:r>
        <w:t>Bundesgericht, 2026-05-04, DE</w:t>
      </w:r>
    </w:p>
    <w:p>
      <w:r>
        <w:rPr>
          <w:b/>
        </w:rPr>
        <w:t xml:space="preserve">Quelle: </w:t>
      </w:r>
      <w:r>
        <w:t>https://mcp.opencaselaw.ch/entscheid/bger_5A_374_2026</w:t>
      </w:r>
    </w:p>
    <w:p>
      <w:r>
        <w:t>FR: TF 5A_374/2026 du 4 mai 2026</w:t>
      </w:r>
    </w:p>
    <w:p>
      <w:r>
        <w:t>IT: TF 5A_374/2026 del 4 maggio 2026</w:t>
      </w:r>
    </w:p>
    <w:p>
      <w:pPr>
        <w:pStyle w:val="Heading2"/>
      </w:pPr>
      <w:r>
        <w:t>Erwägungen</w:t>
      </w:r>
    </w:p>
    <w:p>
      <w:r>
        <w:rPr>
          <w:b/>
        </w:rPr>
        <w:t>E. 1</w:t>
      </w:r>
    </w:p>
    <w:p>
      <w:r>
        <w:t>Die Beschwerdeführerin wird auf Grundpfandverwertung betrieben (Betreibung Nr. xxx des Betreibungsamtes Emmental-Oberaargau, Dienststelle Oberaargau). Am 10. Februar 2026 erliess das Betreibungsamt die Steigerungs- und Spezialanzeige und setzte die Steigerung auf den 19. Mai 2026 an.</w:t>
      </w:r>
    </w:p>
    <w:p>
      <w:r>
        <w:t>Am 25. Februar 2026 (Postaufgabe) erhob die Beschwerdeführerin Beschwerde beim Obergericht des Kantons Bern. Am 3. März 2026 (Postaufgabe) reichte sie eine weitere Eingabe ein. Mit Entscheid vom 10. April 2026 wies das Obergericht die Beschwerde ab, soweit es darauf eintrat.</w:t>
      </w:r>
    </w:p>
    <w:p>
      <w:r>
        <w:t>Dagegen hat die Beschwerdeführerin am 30. April 2026 (Postaufgabe)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hat sich zu den verschiedenen, von der Beschwerdeführerin vorgebrachten Punkten geäussert und ihre Vorbringen verworfen (Zustellung des Zahlungsbefehls, Rechtsvorschlag, Einziehung von Mietzinsen, Verwertungsaufschub).</w:t>
      </w:r>
    </w:p>
    <w:p>
      <w:r>
        <w:t>Die Beschwerdeführerin setzt sich mit diesen Erwägungen nicht hinreichend auseinander. Im Wesentlichen schildert sie die Gründe für ihre finanziellen Schwierigkeiten und weshalb B.________ (einzelzeichnungsberechtigtes Mitglied des Verwaltungsrats) auf das Grundstück und die Mietzinseinnahmen angewiesen sei. Soweit sie den Erwägungen zum unterbliebenen Rechtsvorschlag entgegenhält, ihr Geschäftspartner habe genau gewusst, um welche Forderung von welchem Gläubiger es sich handle, und der Rechtsvorschlag sei form- und fristgerecht eingereicht worden, genügt dies den Begründungs- bzw. Rügeanforderungen nicht.</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 Eine Parteientschädigung an die Beschwerdeführerin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