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5A_374/2025 vom 20. Mai 2025</w:t>
      </w:r>
    </w:p>
    <w:p>
      <w:r>
        <w:t>Bundesgericht, 2025-05-20, DE</w:t>
      </w:r>
    </w:p>
    <w:p>
      <w:r>
        <w:rPr>
          <w:b/>
        </w:rPr>
        <w:t xml:space="preserve">Quelle: </w:t>
      </w:r>
      <w:r>
        <w:t>https://mcp.opencaselaw.ch/entscheid/bger_5A_374_2025</w:t>
      </w:r>
    </w:p>
    <w:p>
      <w:r>
        <w:t>FR: TF 5A_374/2025 du 20 mai 2025</w:t>
      </w:r>
    </w:p>
    <w:p>
      <w:r>
        <w:t>IT: TF 5A_374/2025 del 20 maggio 2025</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 Zu beachten ist ferner, dass der von der Vorinstanz festgestellte Sachverhalt für das Bundesgericht grundsätzlich verbindlich ist ( Art. 105 Abs. 1 BGG ). Diesbezüglich könnte einzig eine willkürliche Sachverhaltsfeststellung gerügt werden, für welche das strenge Rügeprinzip gilt und bloss appellatorische Ausführungen nicht ausreichen ( Art. 97 Abs. 1 und Art. 106 Abs. 2 BGG ; BGE 142 III 364 E. 2.4; 149 III 81 E. 1.3).</w:t>
      </w:r>
    </w:p>
    <w:p>
      <w:r>
        <w:rPr>
          <w:b/>
        </w:rPr>
        <w:t>E. 2</w:t>
      </w:r>
    </w:p>
    <w:p>
      <w:r>
        <w:t>Der Beschwerde mangelt es - abgesehen von einem sinngemässen Begehren um unentgeltliche Rechtspflege und einen sinngemässen Antrag auf "umfangreiche Entschädigungsfolgen zulasten der Täter- und Schuldnerschaft", welcher jedoch ausserhalb des möglichen Anfechtungsgegenstandes steht - an einem Rechtsbegehren bzw. jedenfalls an einem konkreten Rechtsbegehren zur Sache. Sodann mangelt es auch an einer hinreichenden Begründung, inwiefern beim angefochtenen Entscheid der Sachverhalt willkürlich festgestellt oder Recht verletzt sein soll, denn der Beschwerdeführer setzt sich nicht in konkreter Weise mit den ausführlichen Sachverhaltsfeststellungen zu seiner Situation sowie den Erwägungen zur Notwendigkeit der erwachsenenschutzrechtlichen Massnahmen und der Amtsführung der Beiständin auseinander. Vielmehr äussert er sich weitschweifig zur Psychiatrie, stellt in appellatorischer Weise Behauptungen zu seiner Lebens- und Gesundheitssituation auf und äussert sich zu weiteren Dingen, die keinen ersichtlichen Zusammenhang mit dem Anfechtungsgegenstand haben.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 Damit ist das sinngemässe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