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5A_372/2020 vom 22. Mai 2020</w:t>
      </w:r>
    </w:p>
    <w:p>
      <w:r>
        <w:t>Bundesgericht, 2020-05-22, DE</w:t>
      </w:r>
    </w:p>
    <w:p>
      <w:r>
        <w:rPr>
          <w:b/>
        </w:rPr>
        <w:t xml:space="preserve">Quelle: </w:t>
      </w:r>
      <w:r>
        <w:t>https://mcp.opencaselaw.ch/entscheid/bger_5A_372_2020</w:t>
      </w:r>
    </w:p>
    <w:p>
      <w:r>
        <w:t>FR: TF 5A_372/2020 du 22 mai 2020</w:t>
      </w:r>
    </w:p>
    <w:p>
      <w:r>
        <w:t>IT: TF 5A_372/2020 del 22 maggio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Diesbezüglich hat die Beschwerde eine Begründung zu enthalten, in welcher in gedrängter Form dargelegt wird, inwiefern der angefochtene Entscheid Recht verletzt ( Art. 42 Abs. 2 BGG ).</w:t>
      </w:r>
    </w:p>
    <w:p>
      <w:r>
        <w:rPr>
          <w:b/>
        </w:rPr>
        <w:t>E. 2</w:t>
      </w:r>
    </w:p>
    <w:p>
      <w:r>
        <w:t>Der Beschwerdeführer äussert sich zu Kinderbelangen, der Kompetenzattraktion des mit der Unterhaltsfrage befassten Gerichtes, zur (nach heutiger Rechtslage nicht mehr bestehenden Institution der) Beiratschaft und zu sozialversicherungsrechtlichen Dingen. Es scheint sich um aus verschiedenen Urteilen kopierte Textauszüge zu handeln und jedenfalls bleiben die Ausführungen ohne erkennbaren Zusammenhang mit der Thematik der Ersatzbeistandschaft, zu welcher sich der Beschwerdeführer nicht äussert. Noch weniger lassen sich der Beschwerde Ausführungen zur Einhaltung der kantonalen Beschwerdefrist bzw. zu den Nichteintretenserwägungen des angefochtenen Entscheides entnehmen.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