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5A_370/2026 vom 1. Mai 2026</w:t>
      </w:r>
    </w:p>
    <w:p>
      <w:r>
        <w:t>Bundesgericht, 2026-05-01, DE</w:t>
      </w:r>
    </w:p>
    <w:p>
      <w:r>
        <w:rPr>
          <w:b/>
        </w:rPr>
        <w:t xml:space="preserve">Quelle: </w:t>
      </w:r>
      <w:r>
        <w:t>https://mcp.opencaselaw.ch/entscheid/bger_5A_370_2026</w:t>
      </w:r>
    </w:p>
    <w:p>
      <w:r>
        <w:t>FR: TF 5A_370/2026 du 1 mai 2026</w:t>
      </w:r>
    </w:p>
    <w:p>
      <w:r>
        <w:t>IT: TF 5A_370/2026 del 1 maggio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hält einzig fest: "Einsprache/Beschwerde: Aufhebung FU" und bittet im Übrigen "um Verlängerung der Frist um Therapie Verlängerung".</w:t>
      </w:r>
    </w:p>
    <w:p>
      <w:r>
        <w:t>Damit wird keine Rechtsverletzung dargelegt und eine solche ist auch nicht ersichtlich, zumal im angefochtenen Entscheid der Schwächezustand sowie das selbstgefährdende Verhalten, die Erforderlichkeit der Unterbringung und die Eignung der Klinik unter Bezugnahme auf das erstellte Gutachten dargestellt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