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5A_370/2023 vom 24. Januar 2024</w:t>
      </w:r>
    </w:p>
    <w:p>
      <w:r>
        <w:t>Bundesgericht, 2024-01-24, DE</w:t>
      </w:r>
    </w:p>
    <w:p>
      <w:r>
        <w:rPr>
          <w:b/>
        </w:rPr>
        <w:t xml:space="preserve">Quelle: </w:t>
      </w:r>
      <w:r>
        <w:t>https://mcp.opencaselaw.ch/entscheid/bger_5A_370_2023</w:t>
      </w:r>
    </w:p>
    <w:p>
      <w:r>
        <w:t>FR: TF 5A_370/2023 du 24 janvier 2024</w:t>
      </w:r>
    </w:p>
    <w:p>
      <w:r>
        <w:t>IT: TF 5A_370/2023 del 24 gennaio 2024</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Die Beschwerde richtet sich gegen den Endentscheid ( Art. 90 BGG ) einer letzten kantonalen Instanz ( Art. 75 Abs. 1 BGG ), die auf eine Klage betreffend Genugtuung wegen angeblich widerrechtlicher fürsorgerischer Unterbringung nicht eingetreten ist. Diese Angelegenheit untersteht der Beschwerde in Zivilsachen (Art. 72 Abs. 2 lit. b Ziff. 6 BGG; vgl. BGE 139 III 252 E. 1.5; 133 III 462 E. 2.1). Das Streitwerterfordernis ( Art. 74 Abs. 1 lit. b BGG ) ist erfüllt und die Beschwerdeführerin zur Beschwerde, die sie fristgerecht erhoben hat, berechtigt (Art. 76 Abs. 1, Art. 100 Abs. 1 i.V.m. Art. 46 Abs. 1 lit. a BGG ).</w:t>
      </w:r>
    </w:p>
    <w:p>
      <w:r>
        <w:rPr>
          <w:b/>
        </w:rPr>
        <w:t>E. 1.2.1</w:t>
      </w:r>
    </w:p>
    <w:p>
      <w:r>
        <w:t>Nach Art. 75 BGG ist die Beschwerde an das Bundesgericht indes nur gegen Entscheide zulässig, die ein oberes kantonales Gericht als Rechtsmittelinstanz gefällt hat (Prinzip der "double instance" im Bereich des Zivilrechts). Ausgenommen sind gemäss Art. 75 Abs. 2 BGG die Fälle, in denen ein Bundesgesetz eine einzige kantonale Instanz vorsieht (lit. a), ein Fachgericht für handelsrechtliche Streitigkeiten als einzige kantonale Instanz entscheidet (lit. b) oder eine Klage mit einem Streitwert von mindestens 100 000 Franken mit Zustimmung aller Parteien direkt beim oberen Gericht eingereicht wurde (lit. c). Die in Art. 130 Abs. 2 BGG vorgesehene Übergangsfrist zur Anpassung des kantonalen Verfahrens an Art. 75 Abs. 2 BGG ist abgelaufen.</w:t>
      </w:r>
    </w:p>
    <w:p>
      <w:r>
        <w:rPr>
          <w:b/>
        </w:rPr>
        <w:t>E. 1.2.2</w:t>
      </w:r>
    </w:p>
    <w:p>
      <w:r>
        <w:t>Das Verwaltungsgericht hat als oberes kantonales Gericht, aber nicht als Rechtsmittelinstanz, sondern als einzige kantonale Instanz entschieden. Es stützt seine Zuständigkeit auf § 64 Abs. 1 Ziff. 4 des Gesetzes des Kantons Thurgau vom 23. Februar 1981 über die Verwaltungsrechtspflege (RB 170.1) i.V.m. § 12 Abs. 1 Ziff. 1 und § 1 des Gesetzes des Kantons Thurgau vom 14. Februar 1979 über die Verantwortlichkeit (RB 170.3).</w:t>
      </w:r>
    </w:p>
    <w:p>
      <w:r>
        <w:rPr>
          <w:b/>
        </w:rPr>
        <w:t>E. 1.2.3</w:t>
      </w:r>
    </w:p>
    <w:p>
      <w:r>
        <w:t>Die Ausnahmetatbestände gemäss Art. 75 Abs. 2 lit. b und c sind offensichtlich nicht gegeben. Eine einzige kantonale Instanz ist darüber hinaus auch in keinem Bundesgesetz vorgesehen bzw. ermächtigt das Bundesrecht die Kantone nicht, eine einzige kantonale Instanz vorzusehen ( BGE 138 III 799 E. 1.1). Solcherlei ergibt sich insbesondere nicht aus Art. 454 ZGB . Daran ändert nichts, dass das Verwaltungsgericht in seiner Rechtsmittelbelehrung auf die Beschwerde in Zivilsachen verwiesen hat.</w:t>
      </w:r>
    </w:p>
    <w:p>
      <w:r>
        <w:rPr>
          <w:b/>
        </w:rPr>
        <w:t>E. 1.3</w:t>
      </w:r>
    </w:p>
    <w:p>
      <w:r>
        <w:t>Insgesamt ist die Beschwerde in Zivilsachen unzulässig, da das kantonale Verwaltungsgericht erstinstanzlich und nicht auf Rechtsmittel hin entschieden hat und sich dafür auf keine Ausnahmebestimmung stützen kann. Eine Entgegennahme der Eingabe als subsidiäre Verfassungsbeschwerde fällt ausser Betracht, da Art. 75 BGG auch diesbezüglich gilt ( Art. 114 BGG ; BGE 143 III 140 E. 1.2; 141 III 188 E. 4.1; 137 III 238 E. 2.2).</w:t>
      </w:r>
    </w:p>
    <w:p>
      <w:r>
        <w:rPr>
          <w:b/>
        </w:rPr>
        <w:t>E. 2</w:t>
      </w:r>
    </w:p>
    <w:p>
      <w:r>
        <w:t>Der Kanton Thurgau ist somit verpflichtet, ein kantonales Rechtsmittel zur Verfügung zu stellen, um den Anforderungen des BGG gerecht zu werden. Nach der Praxis des Bundesgerichts gehen die Akten in einem Fall wie dem vorliegenden zur weiteren Behandlung an das Verwaltungsgericht zurück. Zwar ist der Kanton und nicht das Gericht selbst verpflichtet, ein Rechtsmittel zu schaffen. Praktisch lässt sich das aber, soweit bereits das Verwaltungsgericht als Erstinstanz geurteilt hat, nicht anders handhaben, als dass das Verwaltungsgericht in anderer Besetzung die Rechtsmitteleingabe beurteilt und einen zweitinstanzlichen Entscheid fällt ( BGE 139 III 252 E. 1.6; Urteil 5A_732/2020 vom 22. März 2021 E. 2 mit Hinweisen).</w:t>
      </w:r>
    </w:p>
    <w:p>
      <w:r>
        <w:rPr>
          <w:b/>
        </w:rPr>
        <w:t>E. 3</w:t>
      </w:r>
    </w:p>
    <w:p>
      <w:r>
        <w:t>Praxisgemäss werden keine Gerichtskosten erhoben und sind allfällige Parteikosten im Rahmen des zweitinstanzlichen kantonalen Entscheides zu liquidieren (zit. Urteil 5A_732/2020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