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5A_36/2026 vom 20. Januar 2026</w:t>
      </w:r>
    </w:p>
    <w:p>
      <w:r>
        <w:t>Bundesgericht, 2026-01-20, FR</w:t>
      </w:r>
    </w:p>
    <w:p>
      <w:r>
        <w:rPr>
          <w:b/>
        </w:rPr>
        <w:t xml:space="preserve">Quelle: </w:t>
      </w:r>
      <w:r>
        <w:t>https://mcp.opencaselaw.ch/entscheid/bger_5A_36_2026</w:t>
      </w:r>
    </w:p>
    <w:p>
      <w:r>
        <w:t>FR: TF 5A_36/2026 du 20 janvier 2026</w:t>
      </w:r>
    </w:p>
    <w:p>
      <w:r>
        <w:t>IT: TF 5A_36/2026 del 20 gennaio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B.________ (</w:t>
      </w:r>
    </w:p>
    <w:p>
      <w:r>
        <w:t>épouse ) et A.________ (</w:t>
      </w:r>
    </w:p>
    <w:p>
      <w:r>
        <w:t>mari ) se sont mariés en 2010; deux enfants sont issues de cette union: C.________ (2012) et D.________ (2014). Les époux se sont séparés en été 2017.</w:t>
      </w:r>
    </w:p>
    <w:p>
      <w:r>
        <w:t>En bref, la situation des conjoints a donné lieu à plusieurs décisions de mesures protectrices de l'union conjugale; lors de l'audience qui s'est déroulée le 27 novembre 2019 devant le Tribunal civil du Littoral et du Val-de-Travers, les parties ont trouvé un accord sur les conséquences financières de leur séparation.</w:t>
      </w:r>
    </w:p>
    <w:p>
      <w:r>
        <w:rPr>
          <w:b/>
        </w:rPr>
        <w:t>E. 1.2</w:t>
      </w:r>
    </w:p>
    <w:p>
      <w:r>
        <w:t>Le 14 février 2025, le mari a introduit une demande unilatérale en divorce; le 17 février suivant, il a sollicité des mesures provisionnelles fondées sur l' art. 276 CPC tendant à l'instauration d'une garde alternée sur les enfants et à l'imputation d'un revenu hypothétique à l'épouse, le tout "</w:t>
      </w:r>
    </w:p>
    <w:p>
      <w:r>
        <w:t>sans délai ".</w:t>
      </w:r>
    </w:p>
    <w:p>
      <w:r>
        <w:t>Statuant le 18 août 2025 par voie de mesures provisionnelles, le Tribunal civil a rejeté "</w:t>
      </w:r>
    </w:p>
    <w:p>
      <w:r>
        <w:t>toute conclusion visant à modifier le système de garde et de droit de visite " (ch. 1) et modifié la décision de mesures protectrices de l'union conjugale du 27 novembre 2019 (</w:t>
      </w:r>
    </w:p>
    <w:p>
      <w:r>
        <w:t>cf .</w:t>
      </w:r>
    </w:p>
    <w:p>
      <w:r>
        <w:t>supra , consid. 1.1) quant aux contributions d'entretien en faveur de la famille (ch. 2).</w:t>
      </w:r>
    </w:p>
    <w:p>
      <w:r>
        <w:t>Saisie d'un appel du mari, la Cour d'appel civile du Tribunal cantonal du canton de Neuchâtel a, par arrêt du 25 novembre 2025, confirmé la décision attaquée.</w:t>
      </w:r>
    </w:p>
    <w:p>
      <w:r>
        <w:rPr>
          <w:b/>
        </w:rPr>
        <w:t>E. 2</w:t>
      </w:r>
    </w:p>
    <w:p>
      <w:r>
        <w:t>Par mémoire expédié le 13 janvier 2026, le mari exerce un recours en matière civile au Tribunal fédéral contre l'arrêt précité; il sollicite l'octroi de l'assistance judiciaire.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recours (en matière civile) doit être déposé dans les 30 jours dès la notification de l'expédition complète ( art. 100 al. 1 LTF ), la computation du délai étant soumise aux règles générales des art. 44 ss LTF .</w:t>
      </w:r>
    </w:p>
    <w:p>
      <w:r>
        <w:t>En l'espèce, l'arrêt entrepris porte sur des mesures provisionnelles en instance de divorce tendant à la modification de mesures protectrices de l'union conjugale ( art. 179 CC et art. 276 CPC ); partant, elle tombe sous le coup de l' art. 98 LTF (</w:t>
      </w:r>
    </w:p>
    <w:p>
      <w:r>
        <w:t>cf . parmi d'autres: arrêt 5A_740/2024 du 21 novembre 2025 consid. 1.1). Contrairement à l'avis du recourant, la "</w:t>
      </w:r>
    </w:p>
    <w:p>
      <w:r>
        <w:t>suspension de délais prévue à l' art. 46 al. 1 let . c LTF " n'est donc pas applicable, la notion de "</w:t>
      </w:r>
    </w:p>
    <w:p>
      <w:r>
        <w:t>mesures provisionnelles " au sens des art. 46 al. 2 let . aet 98 LTF étant identique ( ATF 134 III 667 consid. 1.3; arrêt 4A_387/2023 du 2 mai 2024 consid. 2.2.2 et les références).</w:t>
      </w:r>
    </w:p>
    <w:p>
      <w:r>
        <w:t>L'arrêt déféré ayant été notifié au recourant le</w:t>
      </w:r>
    </w:p>
    <w:p>
      <w:r>
        <w:t>28 novembre 2025 (par l'intermédiaire de son mandataire), le délai de recours a ainsi débuté le lendemain (</w:t>
      </w:r>
    </w:p>
    <w:p>
      <w:r>
        <w:t>i.e. 29 novembre 2025; art. 44 al. 1 LTF ) - même si ce jour est un samedi (parmi d'autres: arrêt 5A_989/2022 du 13 janvier 2023 consid. 5) - pour expirer le (dimanche)</w:t>
      </w:r>
    </w:p>
    <w:p>
      <w:r>
        <w:t>28 décembre 2025 , échéance reportée au (lundi)</w:t>
      </w:r>
    </w:p>
    <w:p>
      <w:r>
        <w:t>29 décembre 2025 ( art. 45 al. 1 LTF ). Mis à la poste le</w:t>
      </w:r>
    </w:p>
    <w:p>
      <w:r>
        <w:t>13 janvier 2026 , le présent recours est dès lors tardif.</w:t>
      </w:r>
    </w:p>
    <w:p>
      <w:r>
        <w:rPr>
          <w:b/>
        </w:rPr>
        <w:t>E. 4</w:t>
      </w:r>
    </w:p>
    <w:p>
      <w:r>
        <w:t>Vu ce qui précède, le présent recours doit être déclaré irrecevable par voie de procédure simplifiée ( art. 108 al. 1 let. a LTF ). Les conclusions du recourant étaient d'emblée vouées à l'échec, ce qui entraîne le rejet de sa requête d'assistance judiciaire et sa condamnation aux frais de la procédure fédérale (art. 64 al. 1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