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5A_36/2025 vom 15. Januar 2025</w:t>
      </w:r>
    </w:p>
    <w:p>
      <w:r>
        <w:t>Bundesgericht, 2025-01-15, DE</w:t>
      </w:r>
    </w:p>
    <w:p>
      <w:r>
        <w:rPr>
          <w:b/>
        </w:rPr>
        <w:t xml:space="preserve">Quelle: </w:t>
      </w:r>
      <w:r>
        <w:t>https://mcp.opencaselaw.ch/entscheid/bger_5A_36_2025</w:t>
      </w:r>
    </w:p>
    <w:p>
      <w:r>
        <w:t>FR: TF 5A_36/2025 du 15 janvier 2025</w:t>
      </w:r>
    </w:p>
    <w:p>
      <w:r>
        <w:t>IT: TF 5A_36/2025 del 15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Entscheid betreffend eine Zwangsmedikation; die Beschwerde in Zivilsachen steht offen (Art. 72 Abs. 2 Bst. b Ziff. 6, Art. 75 Abs. 1 und Art. 90 BGG ).</w:t>
      </w:r>
    </w:p>
    <w:p>
      <w:r>
        <w:rPr>
          <w:b/>
        </w:rPr>
        <w:t>E. 2</w:t>
      </w:r>
    </w:p>
    <w:p>
      <w:r>
        <w:t>Der von der Vorinstanz festgestellte Sachverhalt ist für das Bundesgericht grundsätzlich verbindlich ( Art. 105 Abs. 1 BGG ). Diesbezüglich kann nur eine willkürliche Sachverhaltsfeststellung gerügt werden, für welche das strenge Rügeprinzip gilt ( Art. 97 Abs. 1 und Art. 106 Abs. 2 BGG ), was bedeutet, dass das Bundesgericht nur klar und detailliert erhobene und belegte Rügen prüft, während es auf ungenügend substanziierte Rügen und rein appellatorische Kritik am Sachverhalt nicht eintritt ( BGE 142 III 364 E. 2.4; 149 III 81 E. 1.3).</w:t>
      </w:r>
    </w:p>
    <w:p>
      <w:r>
        <w:t>In rechtlicher Hinsicht hat die Beschwerde eine Begründung zu enthalten, in welcher in gedrängter Form dargelegt wird, inwiefern der angefochtene Entscheid Recht verletzt ( Art. 42 Abs. 2 BGG ), was eine sachbezogene Auseinandersetzung mit dessen Begründung erfordert ( BGE 140 III 115 E. 2; 142 III 364 E. 2.4).</w:t>
      </w:r>
    </w:p>
    <w:p>
      <w:r>
        <w:rPr>
          <w:b/>
        </w:rPr>
        <w:t>E. 3</w:t>
      </w:r>
    </w:p>
    <w:p>
      <w:r>
        <w:t>Der Beschwerdeführer äussert sich mit einigen wenigen in appellatorischer Weise vorgetragenen Behauptungen zum Sachverhalt (er habe Lähmungserscheinungen; die Wirbelsäule sei verkrampft; er habe vorgeschlagen, das Medikament oral einzunehmen); in rechtlicher Hinsicht erfolgen keine Ausführungen.</w:t>
      </w:r>
    </w:p>
    <w:p>
      <w:r>
        <w:t>Ohnehin wäre nicht ersichtlich, inwiefern der angefochtene Entscheid, in welchem ausgehend vom Klinikbericht und dem Gutachten - welche übereinstimmend von wahnhaften Ideen, von umfassend fehlender Krankheitseinsicht bzw. fehlendem Krankheitsgefühl, von fehlender Absprachefähigkeit und Therapietreue und von psychotischer Dekompensation ohne Depotmedikation sprechen - die ernsthafte Gesundheitsgefährdung, die Behandlungsbedürftigkeit und die betreffende Urteilsunfähigkeit sowie der Behandlungsplan dargestellt werden, Recht verletzen würde.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