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5A_36/2020 vom 20. Januar 2020</w:t>
      </w:r>
    </w:p>
    <w:p>
      <w:r>
        <w:t>Bundesgericht, 2020-01-20, DE</w:t>
      </w:r>
    </w:p>
    <w:p>
      <w:r>
        <w:rPr>
          <w:b/>
        </w:rPr>
        <w:t xml:space="preserve">Quelle: </w:t>
      </w:r>
      <w:r>
        <w:t>https://mcp.opencaselaw.ch/entscheid/bger_5A_36_2020</w:t>
      </w:r>
    </w:p>
    <w:p>
      <w:r>
        <w:t>FR: TF 5A_36/2020 du 20 janvier 2020</w:t>
      </w:r>
    </w:p>
    <w:p>
      <w:r>
        <w:t>IT: TF 5A_36/2020 del 20 gennaio 2020</w:t>
      </w:r>
    </w:p>
    <w:p>
      <w:pPr>
        <w:pStyle w:val="Heading2"/>
      </w:pPr>
      <w:r>
        <w:t>Erwägungen</w:t>
      </w:r>
    </w:p>
    <w:p>
      <w:r>
        <w:rPr>
          <w:b/>
        </w:rPr>
        <w:t>E. 1</w:t>
      </w:r>
    </w:p>
    <w:p>
      <w:r>
        <w:t>Im Kostenpunkt handelt es sich um einen Rückweisungsentscheid. Ein solcher führt zu keinem Verfahrensabschluss, weshalb es sich dabei grundsätzlich um einen Zwischenentscheid handelt ( BGE 144 IV 321 E. 2.3 S. 328 f.). Wenn die Rückweisung einzig noch der (rechnerischen) Umsetzung des oberinstanzlich Angeordneten dient und der Erstinstanz daher keinerlei Entscheidungsspielraum mehr verbleibt, nimmt die öffentlich-rechtliche Praxis des Bundesgerichts aber einen anfechtbaren (Quasi-) Endentscheid im Sinne von Art. 90 BGG an (vgl. BGE 145 III 42 E. 2.1 S. 45). Im Übrigen sind Rückweisungsentscheide im bundesgerichtlichen Verfahren nur unter den Voraussetzungen von Art. 93 Abs. 1 BGG anfechtbar, welche im Einzelnen darzutun sind ( BGE 137 III 324 E. 1.1 S. 329; 141 IV 289 E. 1.3 S. 292). Fehlen diese Voraussetzungen, bleibt die Möglichkeit, im Anschluss an den aufgrund des Rückweisungsentscheides neu ergehenden Endentscheid an das Bundesgericht zu gelangen ( Art. 93 Abs. 3 BGG ; BGE 142 II 363 E. 1.1 S. 366).</w:t>
      </w:r>
    </w:p>
    <w:p>
      <w:r>
        <w:t>Vorliegend sind die Voraussetzung zur ausnahmsweisen sofortigen Anfechtbarkeit des Rückweisungsentscheides nicht dargetan - und auch nicht ersichtlich, zumal das Kantonsgericht der KESB keine Vorgaben gemacht hat, die nur noch rechnerisch umzusetzen wären -, weshalb insoweit auf die Beschwerde nicht einzutreten ist.</w:t>
      </w:r>
    </w:p>
    <w:p>
      <w:r>
        <w:rPr>
          <w:b/>
        </w:rPr>
        <w:t>E. 2</w:t>
      </w:r>
    </w:p>
    <w:p>
      <w:r>
        <w:t>Im Zusammenhang mit der Festsetzung und Verteilung der Kosten des kantonalen Beschwerdeverfahrens ist zu beachten, dass aufgrund des zuteilenden Vorbehaltes in Art. 450f ZGB die Kantone zur Regelung des betreffenden Verfahrens zuständig sind. Das Kantonsgericht hat bei seinen Erwägungen zur Höhe und Verteilung der Kosten des Beschwerdeverfahrens auf § 20 f. VPO/BL und damit auf eine kantonal-rechtliche Grundlage abgestellt.</w:t>
      </w:r>
    </w:p>
    <w:p>
      <w:r>
        <w:t>Die Verletzung kantonalen Rechts überprüft das Bundesgericht nur im Zusammenhang mit einer Verletzung verfassungsmässiger Rechte, wobei die Rüge im Vordergrund steht, dass das kantonale Recht willkürlich angewandt worden sei ( BGE 139 III 225 E. 2.3 S. 231; 139 III 252 E. 1.4 S. 254; 142 II 369 E. 2.1 S. 372).</w:t>
      </w:r>
    </w:p>
    <w:p>
      <w:r>
        <w:t>Der Beschwerdeführer erhebt keinerlei Verfassungsrügen, weshalb auf die Beschwerde auf insofern nicht eingetreten werden kann. Ohnehin würden seine Ausführungen - sämtliche Kosten seien durch das fehlerhafte Verhalten der KESB veranlasst - nicht einmal den allgemeinen Begründungsanforderungen von Art. 42 Abs. 2 BGG genügen.</w:t>
      </w:r>
    </w:p>
    <w:p>
      <w:r>
        <w:rPr>
          <w:b/>
        </w:rPr>
        <w:t>E. 3</w:t>
      </w:r>
    </w:p>
    <w:p>
      <w:r>
        <w:t>Im Zusammenhang mit dem sinngemässen Antrag auf Obhutszuteilung ist das Kantonsgericht auf die Beschwerde nicht eingetreten mit der Begründung, diese Frage sei Gegenstand des Entscheides vom 14. März 2018 gewesen und liege in Bezug auf den angefochtenen Entscheid vom 30. Januar 2019 ausserhalb des Streitgegenstandes.</w:t>
      </w:r>
    </w:p>
    <w:p>
      <w:r>
        <w:t>Diesbezüglich müsste die Beschwerde eine Begründung enthalten, in welcher in gedrängter Form dargelegt würde, inwiefern Recht verletzt worden sein soll ( Art. 42 Abs. 2 BGG ), was eine sachbezogene Auseinandersetzung mit der Begründung des angefochtenen Entscheides erfordern würde ( BGE 140 III 115 E. 2 S. 116; 142 III 364 E. 2.4 S. 368). Weil die Vorinstanz im Zusammenhang mit der Obhutsfrage auf das kantonale Rechtsmittel nicht eingetreten ist, müsste in dieser Darlegung insbesondere auch die Frage thematisiert werden, ob die Vorinstanz zu Recht einen Nichteintretensentscheid gefällt hat ( BGE 135 II 38 E. 1.2 S. 41).</w:t>
      </w:r>
    </w:p>
    <w:p>
      <w:r>
        <w:t>Die Beschwerde enthält im betreffenden Zusammenhang überhaupt keine Begründung, weshalb auf sie auch in diesem Punkt nicht einzutreten ist.</w:t>
      </w:r>
    </w:p>
    <w:p>
      <w:r>
        <w:rPr>
          <w:b/>
        </w:rPr>
        <w:t>E. 4</w:t>
      </w:r>
    </w:p>
    <w:p>
      <w:r>
        <w:t>Soweit der Beschwerdeführer schliesslich von der KESB eine Rückzahlung in Bezug auf Kinderalimente verlangt, stellt er ein neues und damit unzulässiges Rechtsbegehren ( Art. 99 Abs. 2 BGG ); ohnehin würde es der KESB diesbezüglich von vornherein an der Passivlegitimation fehlen.</w:t>
      </w:r>
    </w:p>
    <w:p>
      <w:r>
        <w:rPr>
          <w:b/>
        </w:rPr>
        <w:t>E. 5</w:t>
      </w:r>
    </w:p>
    <w:p>
      <w:r>
        <w:t>Die Beschwerde erweist sich nach dem Gesagten insgesamt als offensichtlich nicht hinreichend begründet, soweit sie überhaupt zulässig wäre, weshalb auf sie im vereinfachten Verfahren nach Art. 108 Abs. 1 lit. a und b BGG nicht einzutreten ist.</w:t>
      </w:r>
    </w:p>
    <w:p>
      <w:r>
        <w:rPr>
          <w:b/>
        </w:rPr>
        <w:t>E. 6</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