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36/2007 vom 20. August 2007</w:t>
      </w:r>
    </w:p>
    <w:p>
      <w:r>
        <w:t>Bundesgericht, 2007-08-20, DE</w:t>
      </w:r>
    </w:p>
    <w:p>
      <w:r>
        <w:rPr>
          <w:b/>
        </w:rPr>
        <w:t xml:space="preserve">Quelle: </w:t>
      </w:r>
      <w:r>
        <w:t>https://mcp.opencaselaw.ch/entscheid/bger_5A_36_2007</w:t>
      </w:r>
    </w:p>
    <w:p>
      <w:r>
        <w:t>FR: TF 5A 36/2007 du 20 août 2007</w:t>
      </w:r>
    </w:p>
    <w:p>
      <w:r>
        <w:t>IT: TF 5A 36/2007 del 20 agosto 2007</w:t>
      </w:r>
    </w:p>
    <w:p>
      <w:pPr>
        <w:pStyle w:val="Heading2"/>
      </w:pPr>
      <w:r>
        <w:t>Regeste</w:t>
      </w:r>
    </w:p>
    <w:p>
      <w:r>
        <w:t>Eheschutz | Familienrecht</w:t>
      </w:r>
    </w:p>
    <w:p>
      <w:pPr>
        <w:pStyle w:val="Heading2"/>
      </w:pPr>
      <w:r>
        <w:t>Erwägungen</w:t>
      </w:r>
    </w:p>
    <w:p>
      <w:r>
        <w:rPr>
          <w:b/>
        </w:rPr>
        <w:t>E. 1</w:t>
      </w:r>
    </w:p>
    <w:p>
      <w:r>
        <w:t>Am 1. Januar 2007 ist das Bundesgesetz über das Bundesgericht in Kraft getreten (BGG; SR 173.110; AS 2006 1205, 1243). Die angefochtenen Beschlüsse sind nach Inkrafttreten des Gesetzes ergangen, weshalb dieses Gesetz anzuwenden ist ( Art. 132 Abs. 1 BGG ).</w:t>
      </w:r>
    </w:p>
    <w:p>
      <w:r>
        <w:rPr>
          <w:b/>
        </w:rPr>
        <w:t>E. 2</w:t>
      </w:r>
    </w:p>
    <w:p>
      <w:r>
        <w:t>An den Verfahren 5A_36/2007 und 5A_391/2007 sind dieselben Parteien beteiligt. Den Beschwerden liegt derselbe Sachverhalt zu Grunde und der Beschwerdeführer stellt identische Anträge. Es rechtfertigt sich daher, beide Verfahren zu vereinigen und die Beschwerden in einem Urteil zu behandeln ( Art. 71 BGG i.V.m. Art. 24 BZP ).</w:t>
      </w:r>
    </w:p>
    <w:p>
      <w:r>
        <w:rPr>
          <w:b/>
        </w:rPr>
        <w:t>E. 3.1</w:t>
      </w:r>
    </w:p>
    <w:p>
      <w:r>
        <w:t>Die Beschwerde 5A_36/2007 vom 19. Februar 2007 richtet sich gegen den Beschluss des Obergerichts des Kantons Zürich. Die Beschwerde in Zivilsachen ist zulässig gegen Entscheide letzter kantonaler Instanzen. Nicht erforderlich ist die Einlegung eines ausserordentlichen Rechtsmittels, mit welchem nicht alle vor Bundesgericht zulässigen Rügen erhoben werden können. Wird das ausserordentliche kantonale Rechtsmittel aber ergriffen, beginnt die Beschwerdefrist gegen den Entscheid des oberen kantonalen Gerichts erst mit der Eröffnung des Entscheids der zusätzlichen Rechtsmittelinstanz ( Art. 100 Abs. 6 BGG ). Können allerdings mit dem ausserordentlichen kantonalen Rechtsmittel alle vor Bundesgericht zulässigen Rügen geltend gemacht werden, erfordert Art. 75 Abs. 1 BGG die Erschöpfung dieses kantonalen Rechtsmittelzuges und ist die Beschwerde gegen den Entscheid des oberen kantonalen Gerichts unzulässig.</w:t>
      </w:r>
    </w:p>
    <w:p>
      <w:r>
        <w:rPr>
          <w:b/>
        </w:rPr>
        <w:t>E. 3.2</w:t>
      </w:r>
    </w:p>
    <w:p>
      <w:r>
        <w:t>Zu prüfen ist daher zunächst, ob vor dem Kassationsgericht alle vor Bundesgericht zulässigen Rügen geltend gemacht werden konnten.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/ZH; Frank/Sträuli/Messmer, Kommentar zur zürcherischen Zivilprozessordnung, 3. Aufl. Zürich 2000, N. 6 zu § 285 ZPO ).</w:t>
      </w:r>
    </w:p>
    <w:p>
      <w:r>
        <w:rPr>
          <w:b/>
        </w:rPr>
        <w:t>E. 3.3</w:t>
      </w:r>
    </w:p>
    <w:p>
      <w:r>
        <w:t>Eheschutzentscheide gelten nach der Rechtsprechung als vorsorgliche Massnahmen im Sinne von Art. 98 BGG ( BGE 133 III 393 E. 5), so dass nur die Verletzung verfassungsmässiger Rechte, namentlich des Willkürverbots ( Art. 9 BV ), geltend gemacht werden kann.</w:t>
      </w:r>
    </w:p>
    <w:p>
      <w:r>
        <w:rPr>
          <w:b/>
        </w:rPr>
        <w:t>E. 3.4</w:t>
      </w:r>
    </w:p>
    <w:p>
      <w:r>
        <w:t>Mit der gegen den Beschluss des Obergerichts erhobenen Beschwerde in Zivilsachen rügt der Beschwerdeführer unter anderem die Verletzung von Art. 8 Abs. 3 (Gleichberechtigung von Mann und Frau), Art. 29 Abs. 1, Art. 11 Abs. 1 (Anspruch der Kinder auf Unversehrtheit) und Art. 27 BV (Wirtschaftsfreiheit). Verfassungsrügen überprüft das Bundesgericht an sich frei. Artikel 8 Abs. 3, Art. 11 Abs. 1 und Art. 27 BV kommt indes hinsichtlich des im ZGB geregelten Eheschutzes und der Kinderbelange keine eigenständige Bedeutung zu, was vom Beschwerdeführer auch nicht behauptet wird. Auf die Beschwerde ist insoweit nicht einzutreten. Nach herrschender Auffassung ist eine eher weite Auslegung des Begriffes des wesentlichen Verfahrensgrundsatzes gemäss § 281 Ziff. 1 ZPO /ZH angezeigt. Darunter fallen nicht nur Vorschriften des kantonalen Zivilprozessrechts, sondern ebenso bundesrechtliche Verfahrensgrundsätze (Frank/Sträuli/Messmer, a.a.O., N. 16 und 17 zu § 281 Ziff. 1 ZPO /ZH). Artikel 29 BV handelt von den Verfahrensgarantien. Dessen Absatz 1 umschreibt allgemeine Rechte, wie etwa das Verbot der Rechtsverweigerung und -verzögerung sowie das Verbot des überspitzten Formalismus (Mahon, in: Aubert/Mahon, Petit commentaire de la Constitution fédérale de la Confédération suisse, 2003, N. 4 zu Art. 29 BV ), während Absatz 2 den Anspruch auf rechtliches Gehör beinhaltet. Absatz 3 schliesslich regelt die unentgeltliche Rechtspflege. Mit Bezug auf die Ansprüche gemäss den Absätzen 2 und 3 gehen Lehre und Rechtsprechung davon aus, es handle sich um vom Kassationsgericht frei zu prüfende wesentliche Verfahrensgrundsätze im Sinne von § 281 Ziff. 1 ZPO (für das rechtliche Gehör: Spühler/Vock, Rechtsmittel in Zivilsachen im Kanton Zürich und im Bund, 1999, S. 67; BGE 104 Ia 408 E. 3b S. 411; für die unentgeltliche Rechtspflege: Spühler/Vock, a.a.O., S. 67; ZR 97/1998 Nr. 31 S. 92 f. E. 2; 104/2005 Nr. 9 S. 26 f. E. 2.2b). Die in Art. 29 Abs. 1 BV umschriebenen Verfahrensgarantien gelten somit wie die vorgenannten Ansprüche als wesentliche Verfahrensgrundsätze im Sinne von § 281 Ziff. 1 ZPO /ZH. Auch die übrigen Rügen konnten mit der kantonalen Nichtigkeitsbeschwerde geltend gemacht werden. Das gilt für die aktenwidrigen oder willkürlichen Annahmen ( § 281 Ziff. 2 ZPO /ZH) ebenso wie für die bezüglich der Bestimmungen des Eheschutzes und der Kinderbelange erhobene Kritik der Verletzung klaren materiellen Rechts ( § 281 Ziff. 3 ZPO /ZH), die im Wesentlichen der Rüge der Verletzung des Willkürverbots entspricht (vgl. dazu Beschluss des Kassationsgerichts des Kantons Zürich vom 4. Juni 2007, II. E. 2 S. 6).</w:t>
      </w:r>
    </w:p>
    <w:p>
      <w:r>
        <w:rPr>
          <w:b/>
        </w:rPr>
        <w:t>E. 3.5</w:t>
      </w:r>
    </w:p>
    <w:p>
      <w:r>
        <w:t>Konnten aber mit dem kantonalen ausserordentlichen Rechtsmittel alle vor Bundesgericht zulässigen Rügen geltend gemacht werden, ist die gegen den Beschluss des Obergerichts erhobene Beschwerde vom 19. Februar 2007 mangels Erschöpfung des kantonalen Instanzenzuges unzulässig; darauf ist nicht einzutreten. Da bei dieser Rechtslage insbesondere auch Art. 100 Abs. 6 BGG nicht zur Anwendung gelangt (E. 3.1 hiervor), ist auf die Ergänzung der Beschwerde vom 19. Februar 2007 durch die Eingabe vom 11. Juli 2007 nicht einzutreten.</w:t>
      </w:r>
    </w:p>
    <w:p>
      <w:r>
        <w:rPr>
          <w:b/>
        </w:rPr>
        <w:t>E. 4.1</w:t>
      </w:r>
    </w:p>
    <w:p>
      <w:r>
        <w:t>Mit der Beschwerde 5A_391/2007 vom 11. Juli 2007 richtet sich der Beschwerdeführer gegen den Beschluss des Kassationsgerichts des Kantons Zürich vom 4. Juni 2007. Da gegen Eheschutzentscheide nur die Verletzung verfassungsmässiger Rechte geltend gemacht werden kann,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f. ; 128 I 81 E. 2 S. 86;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 Allgemeine Einwendungen gegen den angefochtenen Entscheid und Ausführungen zur Arbeitsweise der Vorinstanz werden hingegen nicht berücksichtigt.</w:t>
      </w:r>
    </w:p>
    <w:p>
      <w:r>
        <w:rPr>
          <w:b/>
        </w:rPr>
        <w:t>E. 4.2</w:t>
      </w:r>
    </w:p>
    <w:p>
      <w:r>
        <w:t>Der Beschwerdeführer rügt in seiner Eingabe den Entscheid des Kassationsgerichts zwar als willkürlich und gegen Art. 29 Abs. 2 BV verstossend. Seine allgemeinen Ausführungen zum Kindeswohl, zur eigenen Erziehungsfähigkeit und zur Vaterrolle bleiben indes hinsichtlich der Obhutszuteilung appellatorisch. Dies gilt auch für die Vorbringen zum Restwert des Fahrzeuges und zur Parteientschädigung. Darauf ist nicht einzutreten.</w:t>
      </w:r>
    </w:p>
    <w:p>
      <w:r>
        <w:rPr>
          <w:b/>
        </w:rPr>
        <w:t>E. 5</w:t>
      </w:r>
    </w:p>
    <w:p>
      <w:r>
        <w:t>Zusammenfassend ist auf die Beschwerden nicht einzutreten. Bei diesem Ausgang des vereinigten Verfahrens sind die Gerichtskosten dem Beschwerdeführer aufzuerlegen ( Art. 66 Abs. 1 BGG ). Der Beschwerdegegnerin ist keine Entschädigung zu entrichten,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