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368/2023 vom 2. Juni 2023</w:t>
      </w:r>
    </w:p>
    <w:p>
      <w:r>
        <w:t>Bundesgericht, 2023-06-02, DE</w:t>
      </w:r>
    </w:p>
    <w:p>
      <w:r>
        <w:rPr>
          <w:b/>
        </w:rPr>
        <w:t xml:space="preserve">Quelle: </w:t>
      </w:r>
      <w:r>
        <w:t>https://mcp.opencaselaw.ch/entscheid/bger_5A_368_2023</w:t>
      </w:r>
    </w:p>
    <w:p>
      <w:r>
        <w:t>FR: TF 5A 368/2023 du 2 juin 2023</w:t>
      </w:r>
    </w:p>
    <w:p>
      <w:r>
        <w:t>IT: TF 5A 368/2023 del 2 giugno 2023</w:t>
      </w:r>
    </w:p>
    <w:p>
      <w:pPr>
        <w:pStyle w:val="Heading2"/>
      </w:pPr>
      <w:r>
        <w:t>Regeste</w:t>
      </w:r>
    </w:p>
    <w:p>
      <w:r>
        <w:t>Elterliche Sorge | Familienrecht</w:t>
      </w:r>
    </w:p>
    <w:p>
      <w:pPr>
        <w:pStyle w:val="Heading2"/>
      </w:pPr>
      <w:r>
        <w:t>Erwägungen</w:t>
      </w:r>
    </w:p>
    <w:p>
      <w:r>
        <w:rPr>
          <w:b/>
        </w:rPr>
        <w:t>E. 1</w:t>
      </w:r>
    </w:p>
    <w:p>
      <w:r>
        <w:t>Die Beschwerde in Zivilsachen ist ein reformatorisches Rechtsmittel ( Art. 107 Abs. 1 BGG ) und hat deshalb Begehren in der Sache zu enthalten ( Art. 42 Abs. 1 BGG ). Der Beschwerdeführer verlangt: "Ich lege Widerspruch gegen die Abweisung meines Antrags auf vorsorgliche Massnahmen durch das Obergericht ein. In diesem Sinne bitte ich um die Gutheissung meines Antrages auf vorsorgliche Massnahmen betreffend meiner Tochter." Dies ist zwar kein im eigentlichen Sinn reformatorisches Begehren, aber es geht sinngemäss hervor, dass der Beschwerdeführer eine vorsorgliche Zuteilung der elterlichen Sorge betreffend seine Tochter fordert. Für eine Laien-Eingabe ist von einem hinreichenden Begehren auszugehen.</w:t>
      </w:r>
    </w:p>
    <w:p>
      <w:r>
        <w:rPr>
          <w:b/>
        </w:rPr>
        <w:t>E. 2</w:t>
      </w:r>
    </w:p>
    <w:p>
      <w:r>
        <w:t>Indes fehlt es an einer hinreichenden Begründung: Es geht um eine vorsorgliche Massnahme im Sinn von Art. 98 BGG , worauf in der Rechtsmittelbelehrung hingewiesen wird. Demnach kann ausschliesslich die Verletzung verfassungsmässiger Rechte gerügt werden. Hierfür gilt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134 II 244 E. 2.2; 142 III 364 E. 2.4). Die Ausführungen bleiben durchwegs appellatorisch; ein verfassungsmässiges Recht wird weder explizit noch sinngemäss als verletzt angerufen. Damit erweist sich die Beschwerde als offensichtlich nicht hinreichend begründet, weshalb auf sie nicht eingetreten werden kann und der Präsident im vereinfachten Verfahren entscheidet ( Art. 108 Abs. 1 lit. b BGG ).</w:t>
      </w:r>
    </w:p>
    <w:p>
      <w:r>
        <w:rPr>
          <w:b/>
        </w:rPr>
        <w:t>E. 3</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