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5A_368/2007 vom 18. September 2007</w:t>
      </w:r>
    </w:p>
    <w:p>
      <w:r>
        <w:t>Bundesgericht, 2007-09-18, DE</w:t>
      </w:r>
    </w:p>
    <w:p>
      <w:r>
        <w:rPr>
          <w:b/>
        </w:rPr>
        <w:t xml:space="preserve">Quelle: </w:t>
      </w:r>
      <w:r>
        <w:t>https://mcp.opencaselaw.ch/entscheid/bger_5A_368_2007</w:t>
      </w:r>
    </w:p>
    <w:p>
      <w:r>
        <w:t>FR: TF 5A_368/2007 du 18 septembre 2007</w:t>
      </w:r>
    </w:p>
    <w:p>
      <w:r>
        <w:t>IT: TF 5A_368/2007 del 18 settembre 2007</w:t>
      </w:r>
    </w:p>
    <w:p>
      <w:pPr>
        <w:pStyle w:val="Heading2"/>
      </w:pPr>
      <w:r>
        <w:t>Erwägungen</w:t>
      </w:r>
    </w:p>
    <w:p>
      <w:r>
        <w:rPr>
          <w:b/>
        </w:rPr>
        <w:t>E. 1.1</w:t>
      </w:r>
    </w:p>
    <w:p>
      <w:r>
        <w:t>Angefochten ist ein letztinstanzlicher Entscheid ( Art. 75 Abs. 1 BGG ), mit dem die unentgeltliche Verbeiständung im Verfahren der fürsorgerischen Freiheitsentziehung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fürsorgerische Freiheitsentziehung ( Art. 397a ZGB ),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 Die subsidiäre Verfassungsbeschwerde erübrigt sich damit.</w:t>
      </w:r>
    </w:p>
    <w:p>
      <w:r>
        <w:rPr>
          <w:b/>
        </w:rPr>
        <w:t>E. 2</w:t>
      </w:r>
    </w:p>
    <w:p>
      <w:r>
        <w:t>Der Beschwerdeführer macht geltend, das Obergericht habe in der Begründung der Abweisung der unentgeltlichen Rechtspflege in Missachtung von Art. 112 Abs. 1 lit. b BGG keinen Rechtssatz aufgeführt. Damit habe es einerseits den bundesrechtlichen Anforderungen an das kantonale Verfahren nicht genügt (Beschwerde S. 4 b I.), anderseits die Begründungspflicht gemäss Art. 29 Abs. 2 BV und Art. 6 Ziff. 1 EMRK verletzt (Beschwerde S. 8 f. III.).</w:t>
      </w:r>
    </w:p>
    <w:p>
      <w:r>
        <w:t>Im angefochtenen Urteil wird die für die Abweisung der unentgeltlichen Rechtspflege massgebende Gesetzes- oder Verfassungsbestimmung zwar nicht angegeben, was Art. 112 Abs. 1 lit. b BGG nicht entspricht. Der Beschwerdeführer hat indes richtigerweise eine Verletzung des verfassungsmässigen Rechts der unentgeltlichen Rechtspflege ( Art. 29 Abs. 3 BV ) bzw. von Art. 5 Ziff. 4 EMRK gerügt und das Bundesgericht tritt auf seine diesbezügliche Rüge ein (E. 3 hiernach), womit ihm aus der fehlenden Angabe der anwendbaren Gesetzesbestimmungen kein Nachteil erwachsen ist. Es besteht somit kein Anlass, die Sache zur Verbesserung an die Vorinstanz zurückzuweisen. Artikel 112 Abs. 1 lit. b BGG deckt sich mit dem Anspruch auf eine hinreichende Begründung, wie er sich aus Art. 29 Abs. 2 BV ergibt.</w:t>
      </w:r>
    </w:p>
    <w:p>
      <w:r>
        <w:rPr>
          <w:b/>
        </w:rPr>
        <w:t>E. 3</w:t>
      </w:r>
    </w:p>
    <w:p>
      <w:r>
        <w:t>Der Beschwerdeführer macht zusammengefasst geltend, der Entscheid über das FFE-Verfahren greife besonders stark in seine Rechtsstellung ein, was für sich die Bestellung eines Rechtsbeistandes als notwendig erscheinen lasse. Er sei nicht in der Lage, sich über seinen angeschlagenen Geisteszustand selbst einen vertretbaren Standpunkt zu bilden und diesen vor Gericht eigenständig durchzusetzen. Schliesslich dränge sich eine Verbeiständung auch aufgrund der Praxis der Strassburger Organe auf (Beschwerde S. 4 ff. II.).</w:t>
      </w:r>
    </w:p>
    <w:p>
      <w:r>
        <w:rPr>
          <w:b/>
        </w:rPr>
        <w:t>E. 3.1</w:t>
      </w:r>
    </w:p>
    <w:p>
      <w:r>
        <w:t>Nach der bundesgerichtlichen Rechtsprechung zu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ebenso wenig aus ( BGE 122 II 8 ; 125 V 32 E. 4b S. 36) wie der Umstand, dass der Rekurs nicht begründet zu werden braucht ( BGE 133 III 353 E. 2). Ein geistiges Gebrechen der betroffenen Person lässt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In Fällen, wo das Verfahren besonders stark in die Rechtsstellung der betroffenen Person eingreift, muss die unentgeltliche Verbeiständung grundsätzlich geboten sein ( BGE 119 Ia 264 E. 3b S. 265). Nichts anderes ergibt sich aus Art. 397f Abs. 2 ZGB , wonach das Gericht dem Betroffenen "wenn nötig" einen Beistand zu bestellen hat. Ob sich ein unentgeltlicher Rechtsbeistand aufdrängt, beurteilt sich folglich auch im vorliegenden Zusammenhang nach den Umständen des konkreten Einzelfalles (Auer/Malinverni/ Hottelier, Droit constitutionnel suisse, Volume II, 2. Aufl. 2006, S. 707 Rz. 1591).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w:t>
      </w:r>
    </w:p>
    <w:p>
      <w:r>
        <w:rPr>
          <w:b/>
        </w:rPr>
        <w:t>E. 3.2</w:t>
      </w:r>
    </w:p>
    <w:p>
      <w:r>
        <w:t>Der Beschwerdeführer leidet nach den für das Bundesgericht verbindlichen Feststellungen der Vorinstanz seit vielen Jahren an einer schizoaffektiven Störung und einer Polytoxikomanie mit Cannabis, Kokain und LSD, und seit längerem bestehen religiöse Wahnideen mit Grössenwahn (Urteil S. 2 f. III. Erster Absatz). Während seines letzten, hier zur Diskussion stehenden Aufenthaltes in der Klinik musste er isoliert werden, da er seine Genitalien vor den Mitpatienten entblösste und sich gegenüber dem Personal mehrmals verbal bedrohlich verhielt (S. 3 letzter Absatz). Im weiteren Verlauf des Aufenthalts musste er zwangsmediziert und 5-Punkte-fixiert werden, wobei er auch weiterhin psychisch dekompensierte, Grössenwahnideen entwickelte, sich gleichzeitig als Gott und Satan fühlte, aber auch immer wieder beteuerte, Polizist zu sein und mit der Polizei zu kollaborieren; ferner habe er gemeint, seine Gedanken würden in Musik umgewandelt und seien über die Lautsprecher zu verstehen. Gleichzeitig sei er gegenüber dem Personal erneut bedrohlich geworden, habe innerlich bei Konfrontationen angespannt gewirkt, meistens sich aber knapp beherrschen können, habe jedoch versucht, das Personal anzuspucken. Gemäss der ärztlichen Stellungnahme vom 11. Juni 2007 ist es beim Beschwerdeführer zunehmend zu einer Verschlechterung seines Zustandsbildes gekommen, nachdem er Anfang 2007 die Applikation der Depotmedikation mit Clopixol auf der Basis einer ambulanten regierungsstatthalterlichen Verfügung verweigert hatte.</w:t>
      </w:r>
    </w:p>
    <w:p>
      <w:r>
        <w:t>Die beschriebene geistige Störung (trouble mental) führt zum Schluss, dass der Beschwerdeführer im Verfahren betreffend Entlassung aus dem fürsorgerischen Freiheitsentzug nicht in der Lage war, seine Rechte ohne Hilfe eines Rechtsbeistandes genügend zu wahren. Es liegt mit anderen Worten nicht nur ein Grenzfall vor, welcher ohnehin die Beiordnung eines Anwaltes gebieten würde. Daran vermag der summarische Hinweis des Obergerichts im angefochtenen Urteil nichts zu ändern, es habe anlässlich der Verhandlung den Eindruck gewonnen, es sei dem Beschwerdeführer möglich gewesen, sich gut auszudrücken und seinen Willen kundzugeben.</w:t>
      </w:r>
    </w:p>
    <w:p>
      <w:r>
        <w:rPr>
          <w:b/>
        </w:rPr>
        <w:t>E. 4</w:t>
      </w:r>
    </w:p>
    <w:p>
      <w:r>
        <w:t>Das Gesuch um Bestellung eines unentgeltlichen Rechtsbeistandes wurde in erster Linie wegen der fehlenden Notwendigkeit abgewiesen. Die Beschwerde ist folglich gutzuheissen und Ziff. 2 des angefochtenen Urteils aufzuheben. Das Obergericht hat sich zur Bedürftigkeit nicht geäussert. Diese erscheint indes aufgrund der Begründung des Gesuchs um unentgeltliche Rechtspflege für das bundesgerichtliche Verfahren und der eingereichten Beilagen als offensichtlich (act. 3 Beilagen 3-5). Die Sache ist daher antragsgemäss zur Ernennung eines unentgeltlichen Rechtsbeistands und zur Festsetzung seiner Entschädigung an das Obergericht zurückzuweisen. Bei diesem Ausgang des Verfahrens sind keine Kosten zu erheben ( Art. 66 Abs. 4 BGG ). Der Kanton Bern hat den Beschwerdeführer für das bundesgerichtliche Verfahren zu entschädigen, womit das Gesuch des Beschwerdeführers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