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5A_366/2010 vom 4. Januar 2011</w:t>
      </w:r>
    </w:p>
    <w:p>
      <w:r>
        <w:t>Bundesgericht, 2011-01-04, FR</w:t>
      </w:r>
    </w:p>
    <w:p>
      <w:r>
        <w:rPr>
          <w:b/>
        </w:rPr>
        <w:t xml:space="preserve">Quelle: </w:t>
      </w:r>
      <w:r>
        <w:t>https://mcp.opencaselaw.ch/entscheid/bger_5A_366_2010</w:t>
      </w:r>
    </w:p>
    <w:p>
      <w:r>
        <w:t>FR: TF 5A_366/2010 du 4 janvier 2011</w:t>
      </w:r>
    </w:p>
    <w:p>
      <w:r>
        <w:t>IT: TF 5A_366/2010 del 4 gennaio 2011</w:t>
      </w:r>
    </w:p>
    <w:p>
      <w:pPr>
        <w:pStyle w:val="Heading2"/>
      </w:pPr>
      <w:r>
        <w:t>Erwägungen</w:t>
      </w:r>
    </w:p>
    <w:p>
      <w:r>
        <w:rPr>
          <w:b/>
        </w:rPr>
        <w:t>E. 1.1</w:t>
      </w:r>
    </w:p>
    <w:p>
      <w:r>
        <w:t>La décision de modification de mesures provisoires ordonnées sur la base de l' art. 137 al. 2 CC est une décision en matière civile au sens de l' art. 72 al. 1 LTF qui met fin à la procédure de mesures provisionnelles ( ATF 134 III 426 consid. 2.2 et les arrêts cités). Comme les questions soumises au Tribunal fédéral - garde et audition des enfants - ne sont pas de nature pécuniaire, le recours est ouvert indépendamment de la valeur litigieuse (arrêt 5D_41/2007 du 27 novembre 2007 consid. 2.3). Il a en outre pour objet une décision rendue par une autorité de dernière instance cantonale ( art. 75 al. 1 LTF ) et a été déposé dans le délai ( art. 100 al. 1 LTF ) prévu par la loi.</w:t>
      </w:r>
    </w:p>
    <w:p>
      <w:r>
        <w:rPr>
          <w:b/>
        </w:rPr>
        <w:t>E. 1.2</w:t>
      </w:r>
    </w:p>
    <w:p>
      <w:r>
        <w:t>Dès lors que l'arrêt querellé porte sur des mesures provisionnelles ( ATF 133 III 393 consid. 5.1 in fine), seule peut être dénoncée la violation des droits constitutionnels ( art. 98 LTF ). Le Tribunal fédéral ne connaît de la violation de ces droits que si un tel moyen est invoqué et motivé par le recourant ( art. 106 al. 1 LTF ), c'est-à-dire s'il a été expressément soulevé et exposé de manière claire et détaillée ( ATF 134 I 88 consid. 3.2 et les arrêts cités). Le recourant qui se plaint d'arbitraire ne saurait, dès lors, se borner à critiquer la décision attaquée comme il le ferait en procédure d'appel, où l'autorité de recours jouit d'une libre cognition; il ne peut, en particulier, se contenter d'opposer sa thèse à celle de l'autorité précédente, mais doit démontrer, par une argumentation précise, que cette décision est manifestement insoutenable ( ATF 133 II 396 consid. 3.2). Les critiques de nature appellatoire sont irrecevables ( ATF 133 III 589 consid. 2 et les arrêts cités).</w:t>
      </w:r>
    </w:p>
    <w:p>
      <w:r>
        <w:rPr>
          <w:b/>
        </w:rPr>
        <w:t>E. 2</w:t>
      </w:r>
    </w:p>
    <w:p>
      <w:r>
        <w:t>A supposer que la recourante entende remettre en question l'application de l' art. 144 al. 2 CC relatif à l'audition de l'enfant, son grief est irrecevable car elle n'invoque aucun droit constitutionnel. Par ailleurs, sa critique est purement appellatoire et ne satisfait donc pas aux exigences de motivations énoncées ci-dessus.</w:t>
      </w:r>
    </w:p>
    <w:p>
      <w:r>
        <w:rPr>
          <w:b/>
        </w:rPr>
        <w:t>E. 3</w:t>
      </w:r>
    </w:p>
    <w:p>
      <w:r>
        <w:t>La recourante est d'avis que le juge cantonal a violé l' art. 9 Cst. en rejetant son grief pris de l'appréciation arbitraire des preuves. Devant ce magistrat, elle avait fait valoir que le premier juge s'était écarté de manière insoutenable des conclusions de l'expertise judiciaire sur l'attribution de la garde.</w:t>
      </w:r>
    </w:p>
    <w:p>
      <w:r>
        <w:rPr>
          <w:b/>
        </w:rPr>
        <w:t>E. 3.1</w:t>
      </w:r>
    </w:p>
    <w:p>
      <w:r>
        <w:t>Le juge cantonal a considéré que le premier juge ne s'était écarté que partiellement des conclusions de l'expertise. En effet, si l'experte s'était déclarée favorable à un transfert de la garde, elle avait toutefois mis en évidence la nécessité, d'une part, d'éviter un bouleversement brutal par un nouveau transfert de garde et, d'autre part, de maintenir des relations étendues avec les deux parents. Le magistrat a ensuite ajouté que la portée de l'expertise devait être relativisée car elle se fondait dans une large mesure sur la version des faits de la recourante dont certaines allégations étaient pourtant clairement démenties par les éléments du dossier; en outre le rapport ne tenait pas compte de faits pertinents mais défavorables à la mère. Le juge cantonal a également émis une réserve supplémentaire quant à l'impartialité de l'experte car celle-ci est restée en contact avec la recourante qu'elle conseille, allant jusqu'à lui proposer d'assurer le suivi médical des enfants. Enfin, le juge cantonal, examinant les autres preuves, a observé que l'intimé avait favorisé l'élargissement du droit de visite de la mère, ce qui s'était traduit par un renforcement progressif des relations personnelles entre les enfants et celle-ci. L'organisation mise en place par l'intimé pour l'encadrement était enfin équivalente à celle que la mère proposait en cas d'attribution de la garde. Au vu de ces éléments, le juge cantonal a considéré que les moyens de preuve, en particulier l'expertise, n'avaient pas été appréciés de manière arbitraire.</w:t>
      </w:r>
    </w:p>
    <w:p>
      <w:r>
        <w:rPr>
          <w:b/>
        </w:rPr>
        <w:t>E. 3.2</w:t>
      </w:r>
    </w:p>
    <w:p>
      <w:r>
        <w:t>La recourante ne réfute aucunement les arguments de l'autorité précédente. Elle tente en vain de démontrer l'arbitraire allégué en exposant pourquoi, de son point de vue, l'expertise judiciaire aboutissait à une conclusion claire. Elle le fait, toutefois, sur un mode purement appellatoire, se bornant à citer un extrait de l'expertise censé illustrer ses propos et à opposer sa propre appréciation à celle de l'autorité cantonale. Concernant les motifs qui ont conduit le juge précédent à relativiser la portée de l'expertise, la recourante lui reproche de manière générale d'avoir mis en cause l'impartialité de l'experte mais n'explique pas en quoi cette critique adressée à l'experte serait arbitraire. Par ailleurs, bien qu'elle nie, en présentant sa propre lecture des pièces du dossiers, l'attitude positive de l'intimé par rapport au droit de visite, elle ne conteste pas la réalité de l'amélioration des relations personnelles avec ses enfants. Les moyens soulevés sont ainsi irrecevables ( art. 106 al. 2 LTF ; ATF 134 II 244 consid. 2.2).</w:t>
      </w:r>
    </w:p>
    <w:p>
      <w:r>
        <w:rPr>
          <w:b/>
        </w:rPr>
        <w:t>E. 4</w:t>
      </w:r>
    </w:p>
    <w:p>
      <w:r>
        <w:t>Vu le sort du recours, les frais sont mis à la charge de la recourante ( art. 66 al. 1 LTF ). Comme les conclusions prises dans l'acte de recours apparaissaient d'emblée vouées à l'échec, la requête d'assistance judiciaire doit être rejetée ( art. 64 al. 1 LTF ). Il n'est pas alloué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