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5A_365/2026 vom 30. April 2026</w:t>
      </w:r>
    </w:p>
    <w:p>
      <w:r>
        <w:t>Bundesgericht, 2026-04-30, DE</w:t>
      </w:r>
    </w:p>
    <w:p>
      <w:r>
        <w:rPr>
          <w:b/>
        </w:rPr>
        <w:t xml:space="preserve">Quelle: </w:t>
      </w:r>
      <w:r>
        <w:t>https://mcp.opencaselaw.ch/entscheid/bger_5A_365_2026</w:t>
      </w:r>
    </w:p>
    <w:p>
      <w:r>
        <w:t>FR: TF 5A_365/2026 du 30 avril 2026</w:t>
      </w:r>
    </w:p>
    <w:p>
      <w:r>
        <w:t>IT: TF 5A_365/2026 del 30 aprile 2026</w:t>
      </w:r>
    </w:p>
    <w:p>
      <w:pPr>
        <w:pStyle w:val="Heading2"/>
      </w:pPr>
      <w:r>
        <w:t>Erwägungen</w:t>
      </w:r>
    </w:p>
    <w:p>
      <w:r>
        <w:rPr>
          <w:b/>
        </w:rPr>
        <w:t>E. 1</w:t>
      </w:r>
    </w:p>
    <w:p>
      <w:r>
        <w:t>Angefochten ist ein kantonal letztinstanzlicher Nichteintretensentscheid im Kontext mit einem Erbteilungsverfahren mit einem Streitwert von rund Fr. 2 Mio. ( Art. 72 Abs. 1, Art. 74 Abs. 1 lit. b und Art. 75 Abs. 1 BGG ), welcher die Sistierung des erstinstanzlichen Verfahrens betrifft und somit ein Zwischenentscheid ist, der nur unter den besonderen Voraussetzungen von Art. 93 Abs. 1 BGG mit Beschwerde beim Bundesgericht angefochten werden kann, wobei diese in der Beschwerde darzutun sind ( BGE 144 III 475 E. 1.2; 150 III 248 E. 1.2).</w:t>
      </w:r>
    </w:p>
    <w:p>
      <w:r>
        <w:rPr>
          <w:b/>
        </w:rPr>
        <w:t>E. 2</w:t>
      </w:r>
    </w:p>
    <w:p>
      <w:r>
        <w:t>Die Beschwerdeführerin äussert sich weder zu den Eintretensvoraussetzungen von Art. 93 Abs. 1 BGG noch in nachvollziehbarer Weise zur Sistierungsfrage, wenn sie zusammengefasst sinngemäss ein generelles Behörden- und Justizversagen beklagt und geltend macht, sie sei Opfer einer eiskalt und gewerbsmässig vollzogenen Schädigung, weshalb im Erbteilungsverfahren bis zum Abschluss sämtlicher Strafverfahren gegen die koordiniert agierende Tätergruppe zugewartet werden müsse. Wenn sie ferner auf ihre Krankschreibung verweist, so mangelt es an einer konkreten Bezugnahme auf die diesbezüglich ausführlichen Erwägungen im angefochtenen Entscheid.</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