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365/2010 vom 5. August 2010</w:t>
      </w:r>
    </w:p>
    <w:p>
      <w:r>
        <w:t>Bundesgericht, 2010-08-05, FR</w:t>
      </w:r>
    </w:p>
    <w:p>
      <w:r>
        <w:rPr>
          <w:b/>
        </w:rPr>
        <w:t xml:space="preserve">Quelle: </w:t>
      </w:r>
      <w:r>
        <w:t>https://mcp.opencaselaw.ch/entscheid/bger_5A_365_2010</w:t>
      </w:r>
    </w:p>
    <w:p>
      <w:r>
        <w:t>FR: TF 5A 365/2010 du 5 août 2010</w:t>
      </w:r>
    </w:p>
    <w:p>
      <w:r>
        <w:t>IT: TF 5A 365/2010 del 5 agosto 2010</w:t>
      </w:r>
    </w:p>
    <w:p>
      <w:pPr>
        <w:pStyle w:val="Heading2"/>
      </w:pPr>
      <w:r>
        <w:t>Regeste</w:t>
      </w:r>
    </w:p>
    <w:p>
      <w:r>
        <w:t>garde des enfants | Droit de la famille</w:t>
      </w:r>
    </w:p>
    <w:p>
      <w:pPr>
        <w:pStyle w:val="Heading2"/>
      </w:pPr>
      <w:r>
        <w:t>Erwägungen</w:t>
      </w:r>
    </w:p>
    <w:p>
      <w:r>
        <w:rPr>
          <w:b/>
        </w:rPr>
        <w:t>E. 1.1</w:t>
      </w:r>
    </w:p>
    <w:p>
      <w:r>
        <w:t>La présente affaire n'étant pas de nature pécuniaire, le recours en matière civile est par principe ouvert; le recours constitutionnel, qui est une voie de droit subsidiaire, n'est dès lors pas recevable (JEAN-MAURICE FRÉSARD, in: Commentaire de la LTF, 2009, n° 27 ad art. 113 LTF ). Une conversion du recours étant possible, l'écriture des recourants doit être traitée comme recours en matière civile ( ATF 134 III 379 consid. 1.2 et les citations).</w:t>
      </w:r>
    </w:p>
    <w:p>
      <w:r>
        <w:rPr>
          <w:b/>
        </w:rPr>
        <w:t>E. 1.2</w:t>
      </w:r>
    </w:p>
    <w:p>
      <w:r>
        <w:t>Le recours a été déposé en temps utile ( art. 100 al. 1 LTF ) contre une décision finale ( art. 90 LTF ) rendue en matière civile (art. 72 al. 2 let. b ch. 7 LTF) par une autorité cantonale de dernière instance ayant statué sur recours ( art. 75 LTF ); les recourants - auxquels le droit de garde a été retiré - ont qualité pour recourir ( art. 76 al. 1 LTF ).</w:t>
      </w:r>
    </w:p>
    <w:p>
      <w:r>
        <w:rPr>
          <w:b/>
        </w:rPr>
        <w:t>E. 2</w:t>
      </w:r>
    </w:p>
    <w:p>
      <w:r>
        <w:t>Les recourants se plaignent d'une violation de leur droit à une décision motivée, découlant du droit d'être entendu ( art. 29 al. 2 Cst. ). Ce grief ayant trait à une garantie procédurale de nature formelle ( ATF 104 Ia 201 consid. 5g), il convient de l'examiner en premier lieu ( ATF 124 I 49 consid. 1).</w:t>
      </w:r>
    </w:p>
    <w:p>
      <w:r>
        <w:rPr>
          <w:b/>
        </w:rPr>
        <w:t>E. 2.1</w:t>
      </w:r>
    </w:p>
    <w:p>
      <w:r>
        <w:t>Les recourants reprochent d'abord à l'autorité cantonale de n'avoir pas fourni la «moindre indication concernant l'audition des enfants». Il est vrai que la décision attaquée ne reproduit pas, même sous forme résumée, le contenu de l'audition des enfants. Toutefois, les recourants se méprennent sur la portée de cette mesure. Vu l'âge des mineurs, dont le plus jeune n'avait pas six ans à la date de la décision attaquée ( ATF 131 III 553 consid. 1.2.3; 133 III 553 consid. 3), l'audition n'avait nullement pour but de leur donner l'occasion d'exprimer leur avis sur le retrait du droit de garde et le placement, mais de permettre à l'autorité compétente de se forger une opinion personnelle de la situation et de disposer d'une source d'informations supplémentaire pour établir les faits pertinents et prendre sa décision (arrêt 5A_119/2010 du 12 mars 2010 consid. 2.1.3 et les citations). Pour le surplus, les recourants ne prétendent pas que l'audition n'aurait pas été effectuée conformément aux exigences légales (cf. sur ce point: arrêts 5A_50/2010 du 6 juillet 2010 consid. 2.1; 5A_859/2009 du 25 mai 2010 consid. 4.5.1, avec les références citées).</w:t>
      </w:r>
    </w:p>
    <w:p>
      <w:r>
        <w:rPr>
          <w:b/>
        </w:rPr>
        <w:t>E. 2.2</w:t>
      </w:r>
    </w:p>
    <w:p>
      <w:r>
        <w:t>Au demeurant, le moyen est irrecevable.</w:t>
      </w:r>
    </w:p>
    <w:p>
      <w:r>
        <w:rPr>
          <w:b/>
        </w:rPr>
        <w:t>E. 2.2.1</w:t>
      </w:r>
    </w:p>
    <w:p>
      <w:r>
        <w:t>Les critiques adressées au Tribunal tutélaire sont inadmissibles, seule la décision de l'autorité précédente étant susceptible de recours ( art. 75 al. 1 LTF ).</w:t>
      </w:r>
    </w:p>
    <w:p>
      <w:r>
        <w:rPr>
          <w:b/>
        </w:rPr>
        <w:t>E. 2.2.2</w:t>
      </w:r>
    </w:p>
    <w:p>
      <w:r>
        <w:t>Les recourants ne disent pas en quoi consistent les «conclusions écrites» que l'autorité précédente aurait ignorées «sans donner aucune justification pertinente» ( art. 106 al. 2 LTF ); au reste, le juge n'est pas tenu de discuter tous les arguments que soulèvent les plaideurs, mais il peut se limiter à ceux qui apparaissent pertinents (cf. ATF 130 II 530 consid. 4.3 et la jurisprudence citée). Pour la même raison, il n'y a pas lieu d'entrer en matière sur les remarques relatives à des «allégations diffamatoires», sans autre précision ( art. 106 al. 2 LTF ).</w:t>
      </w:r>
    </w:p>
    <w:p>
      <w:r>
        <w:rPr>
          <w:b/>
        </w:rPr>
        <w:t>E. 3</w:t>
      </w:r>
    </w:p>
    <w:p>
      <w:r>
        <w:t>Les recourants se plaignent ensuite d'arbitraire ( art. 9 Cst. ).</w:t>
      </w:r>
    </w:p>
    <w:p>
      <w:r>
        <w:rPr>
          <w:b/>
        </w:rPr>
        <w:t>E. 3.1</w:t>
      </w:r>
    </w:p>
    <w:p>
      <w:r>
        <w:t>L'autorité précédente a estimé, à la suite du Tribunal tutélaire, que les conditions du retrait du droit de garde étaient toujours remplies et que la poursuite du placement des enfants en institution s'imposait. Elle s'est fondée sur l'expertise, qui a été réalisée selon les règles de l'art et dont l'auteur «a apporté un soin tout particulier à recueillir, discuter et peser l'ensemble des éléments d'information que les intervenants médicaux, sociaux et scolaires, en plus des recourants et des enfants eux-mêmes, pouvaient lui apporter». Au surplus, elle a fait grief aux parents, «en raison vraisemblablement des problèmes psychiatriques et psychologiques dont ils souffrent», d'avoir adopté «l'attitude la plus défavorable», c'est-à-dire nier l'existence de tout problème, rejeter et discréditer le travail de tous ceux qui tentent de venir en aide à leurs enfants. Enfin, une mesure moins incisive n'est pas envisageable; au contraire, il apparaît nécessaire de cumuler les différentes mesures, la curatelle d'appui éducatif ainsi que d'organisation et de surveillance du droit de visite s'imposant pour contrôler la qualité de la prise en charge des enfants par leurs parents durant l'exercice du droit de visite (tous les week-ends et les vacances scolaires).</w:t>
      </w:r>
    </w:p>
    <w:p>
      <w:r>
        <w:rPr>
          <w:b/>
        </w:rPr>
        <w:t>E. 3.2</w:t>
      </w:r>
    </w:p>
    <w:p>
      <w:r>
        <w:t>Les recourants ne réfutent aucunement les arguments de l'autorité précédente. Certes, ils s'attaquent à l'expertise, qui serait «entachée d'erreurs de diagnostic», et reprochent aux juridictions cantonales de s'y être référées. Ce faisant, ils se bornent cependant à exposer leur propre argumentation; clairement appellatoire, le moyen est irrecevable ( art. 106 al. 2 LTF ; ATF 134 II 244 consid. 2.2). De plus, les critiques dirigées contre les «erreurs d'appréciation» du Tribunal tutélaire et du SPMI sont irrecevables ( art. 75 al. 1 LTF ). Le grief adressé à l'autorité précédente de n'avoir pas pris position «par rapport aux causes qui ont donné lieu à la décision initiale du retrait de garde et placement des enfants» est dénué de pertinence. La question décisive est de savoir si la mesure critiquée (retrait du droit de garde accompagné d'un placement en institution) est justifiée au regard de la situation actuelle, telle qu'elle a été appréciée par l'expert et les divers intervenants.</w:t>
      </w:r>
    </w:p>
    <w:p>
      <w:r>
        <w:rPr>
          <w:b/>
        </w:rPr>
        <w:t>E. 4</w:t>
      </w:r>
    </w:p>
    <w:p>
      <w:r>
        <w:t>Vu ce qui précède, le recours doit être rejeté dans la mesure étroite de sa recevabilité. Comme les conclusions des recourants étaient vouées d'emblée à l'échec, leur requête d'assistance judiciaire doit être rejetée ( art. 64 al. 1 LTF ), ce qui implique leur condamnation solidaire aux frais de justice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