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5A_364/2022 vom 3. Mai 2023</w:t>
      </w:r>
    </w:p>
    <w:p>
      <w:r>
        <w:t>Bundesgericht, 2023-05-03, FR</w:t>
      </w:r>
    </w:p>
    <w:p>
      <w:r>
        <w:rPr>
          <w:b/>
        </w:rPr>
        <w:t xml:space="preserve">Quelle: </w:t>
      </w:r>
      <w:r>
        <w:t>https://mcp.opencaselaw.ch/entscheid/bger_5A_364_2022</w:t>
      </w:r>
    </w:p>
    <w:p>
      <w:r>
        <w:t>FR: TF 5A_364/2022 du 3 mai 2023</w:t>
      </w:r>
    </w:p>
    <w:p>
      <w:r>
        <w:t>IT: TF 5A_364/2022 del 3 maggio 2023</w:t>
      </w:r>
    </w:p>
    <w:p>
      <w:pPr>
        <w:pStyle w:val="Heading2"/>
      </w:pPr>
      <w:r>
        <w:t>Erwägungen</w:t>
      </w:r>
    </w:p>
    <w:p>
      <w:r>
        <w:rPr>
          <w:b/>
        </w:rPr>
        <w:t>E. 1</w:t>
      </w:r>
    </w:p>
    <w:p>
      <w:r>
        <w:t>Rendue par une juridiction ayant statué sur recours en dernière instance cantonale ( art. 75 al. 1 et 2 LTF ), la décision attaquée est une décision incidente relative à une demande de récusation; elle peut être attaquée indépendamment de la décision finale en vertu de l' art. 92 al. 1 LTF (arrêts 5A_804/2022 du 24 février 2023 consid. 1; 5A_108/2022 du 7 juin 2022 consid. 1 et les références). La voie de droit contre une décision incidente suit celle ouverte contre la décision sur le fond ( ATF 147 III 451 consid. 1.3; 137 III 380 consid. 1.1). En l'espèce, la récusation de la juge intimée a été requise dans une cause concernant la protection de l'enfant, à savoir une affaire sujette au recours en matière civile (art. 72 al. 2 let. b ch. 6 LTF), de nature non pécuniaire. Au regard de l' art. 76 al. 1 LTF , les recourants ont qualité pour reprocher à l'autorité cantonale d'avoir confirmé l'irrecevabilité de leur demande de récusation, en violation des droits de partie qu'ils soutiennent détenir. Le recours a par ailleurs été déposé en temps utile ( art. 100 al. 1 LTF ) et dans la forme légale ( art. 42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l' art. 42 al. 2 LTF exige que le recourant discute les motifs de la décision entreprise et indique précisément en quoi il estime que l'autorité précédente a méconnu le droit ( ATF 142 I 99 consid. 1.7.1; 142 III 364 consid. 2.4 et la référence). Par exception à la règle selon laquelle il applique le droit d'office, le Tribunal fédéral ne peut entrer en matière sur la violation d'un droit constitutionnel ou sur une question relevant du droit cantonal ou intercantonal que si le grief a été expressément invoqué et motivé de façon claire et détaillée par le recourant (" principe d'allégation ", art. 106 al. 2 LTF ; arrêt 5A_717/2021 du 18 octobre 2021 consid. 2 et la référence).</w:t>
      </w:r>
    </w:p>
    <w:p>
      <w:r>
        <w:rPr>
          <w:b/>
        </w:rPr>
        <w:t>E. 2.2</w:t>
      </w:r>
    </w:p>
    <w:p>
      <w:r>
        <w:t>Le Tribunal fédéral statue sur la base des faits établis par l'autorité précédente ( art. 105 al. 1 LTF ). Le recourant qui entend invoquer que les faits ont été établis de manière manifestement inexacte, c'est-à-dire arbitraire au sens de l' art. 9 Cst. ( ATF 148 IV 39 consid. 2.3.5; 147 I 73 consid. 2.2; 144 II 246 consid. 6.7), doit, sous peine d'irrecevabilité, satisfaire au principe d'allégation susmentionné ( art. 106 al. 2 LTF ; cf.</w:t>
      </w:r>
    </w:p>
    <w:p>
      <w:r>
        <w:t>supra consid. 2.1).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5A_39/2023 du 24 février 2023 consid. 4.2; 5A_791/2022 du 26 janvier 2023 consid. 5.2 et les références).</w:t>
      </w:r>
    </w:p>
    <w:p>
      <w:r>
        <w:t>En l'occurrence, il ne résulte pas de la décision attaquée, ni du mémoire de recours cantonal versé au dossier, que les griefs de violation des art. 8 CEDH et 28 ss CC ainsi que du " droit à la protection des données et [du] droit à défendre [son] honneur " aient été invoqués devant les juges précédents, de sorte que les moyens soulevés à cet égard dans le présent recours sont irrecevables. Partant, seuls les griefs de violation du droit à un procès équitable et du droit d'être entendu, dûment invoqués en instance cantonale (recours cantonal, p. 3), seront examinés ci-après.</w:t>
      </w:r>
    </w:p>
    <w:p>
      <w:r>
        <w:rPr>
          <w:b/>
        </w:rPr>
        <w:t>E. 3</w:t>
      </w:r>
    </w:p>
    <w:p>
      <w:r>
        <w:t>Se plaignant d'une violation du droit à un procès équitable et " du droit d'être entendu par un juge impartial " (art. 29 s. Cst. et 6 par. 1 CEDH), les recourants reprochent à la Chambre de surveillance d'avoir nié qu'ils disposaient d'un intérêt digne de protection à ce que la question de la réintégration de l'enfant auprès de sa mère soit instruite et jugée par une juridiction impartiale.</w:t>
      </w:r>
    </w:p>
    <w:p>
      <w:r>
        <w:rPr>
          <w:b/>
        </w:rPr>
        <w:t>E. 3.1.1</w:t>
      </w:r>
    </w:p>
    <w:p>
      <w:r>
        <w:t>Conformément aux art. 30 al. 1 Cst. et 6 par. 1 CEDH, toute personne dont la cause doit être portée devant un juge peut notamment prétendre à ce que celui-ci soit compétent, indépendant et impartial ( ATF 147 III 89 consid. 4.1, 379 consid. 2.3.1 et les références).</w:t>
      </w:r>
    </w:p>
    <w:p>
      <w:r>
        <w:t>La garantie d'un tribunal indépendant et impartial instituée par les art. 30 al. 1 Cst. et 6 par. 1 CEDH - qui ont de ce point de vue la même portée ( ATF 144 I 159 consid. 4.3) -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seules des circonstances constatées objectivement doivent être prises en considération, les impressions purement individuelles des parties n'étant pas décisives ( ATF 144 I 159 consid. 4.3; 142 III 732 consid. 4.2.2).</w:t>
      </w:r>
    </w:p>
    <w:p>
      <w:r>
        <w:rPr>
          <w:b/>
        </w:rPr>
        <w:t>E. 3.1.2</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le droit fédéral attribue aux cantons la compétence de régir la procédure dans ce domaine. Si les cantons n'en disposent pas autrement, les normes de la procédure civile s'appliquent par analogie ( art. 450f CC ); celles-ci étant applicables à titre de droit cantonal supplétif, le Tribunal fédéral ne peut intervenir que si l'autorité précédente a versé dans l'arbitraire ou enfreint d'autres droits constitutionnels, et autant qu'un tel grief a été invoqué et régulièrement motivé ( art. 106 al. 2 LTF ; ATF 144 I 159 consid. 4.2 et les références; cf.</w:t>
      </w:r>
    </w:p>
    <w:p>
      <w:r>
        <w:t>supra consid. 2.1).</w:t>
      </w:r>
    </w:p>
    <w:p>
      <w:r>
        <w:t>Dans le canton de Genève, l'art. 31 al. 1 de la loi d'application du code civil suisse et d'autres lois fédérales en matière civile du 11 octobre 2012 (LaCC/GE; RS/GE E 1 05) prévoit que sont notamment applicables devant le Tribunal de protection, les règles de procédure fixées par le code civil, notamment aux art. 443 à 450g CC (let. a), les dispositions de la présente loi (let. b), ainsi que, sous réserve d'exceptions qui n'entrent pas en considération dans le cas présent, les dispositions générales des art. 1 à 196 CPC (let. d).</w:t>
      </w:r>
    </w:p>
    <w:p>
      <w:r>
        <w:rPr>
          <w:b/>
        </w:rPr>
        <w:t>E. 3.1.3</w:t>
      </w:r>
    </w:p>
    <w:p>
      <w:r>
        <w:t>L'art. 35 let. b LaCC/GE prévoit quant à lui que, dans les procédures instruites à l'égard d'un mineur, le mineur concerné, ses père et mère et le cas échéant son représentant légal, de même que les tiers au sens de l' art. 274a CC sont parties à la procédure devant le Tribunal de protection.</w:t>
      </w:r>
    </w:p>
    <w:p>
      <w:r>
        <w:rPr>
          <w:b/>
        </w:rPr>
        <w:t>E. 3.2</w:t>
      </w:r>
    </w:p>
    <w:p>
      <w:r>
        <w:t>La Chambre de surveillance a considéré que les parents d'accueil n'avaient pas la qualité de partie dans les procédures de protection qui ne portaient pas sur l'octroi d'un droit de visite en leur faveur. Or les reproches que les recourants formulaient à l'encontre de la juge Uehlinger visaient des actes effectués dans le cadre de la procédure de protection portant sur la réintégration de la mineure auprès de sa mère biologique, la fixation d'un droit de visite au père, les injonctions faites à la mère et les diverses curatelles instituées. Ils étaient ainsi sans lien avec la procédure tendant à l'octroi d'un droit de visite initiée le 7 septembre 2021 par les recourants, soit postérieurement au dépôt de leur requête en récusation. Ne disposant pas de la qualité de partie à la procédure de protection susvisée, les recourants n'avaient pas d'intérêt à agir en récusation. C'était donc à juste titre que le collège des juges n'était pas entré en matière sur leur requête en ce sens.</w:t>
      </w:r>
    </w:p>
    <w:p>
      <w:r>
        <w:rPr>
          <w:b/>
        </w:rPr>
        <w:t>E. 3.3</w:t>
      </w:r>
    </w:p>
    <w:p>
      <w:r>
        <w:t>Les recourants reprochent aux juges précédents d'avoir ignoré que la réintégration auprès de la mère biologique de l'enfant avait comme corollaire direct que celui-ci fût retiré de la garde de la famille d'accueil. Or le fait qu'un enfant soit retiré à la famille d'accueil avait un impact direct sur la situation personnelle, émotionnelle et économique des parents d'accueil. Une décision relative à l'octroi ou non d'un droit de visite, qui est limité par nature, avait une incidence bien moindre qu'une décision relative à la réintégration de l'enfant auprès de ses parents biologiques. Dès lors, qu'un droit de visite soit octroyé ou non, l'élément essentiel influençant la situation de la famille d'accueil, et donc son intérêt juridique principal, se situait bien au niveau de la procédure de réintégration. Les recourants rappellent en outre que jusqu'au retrait brutal et soudain de l'enfant de la famille d'accueil par des mesures d'extrême urgence contestées, c'étaient eux qui avaient assuré, pendant près de quatre ans, l'éducation, la prise en charge quotidienne de l'ensemble de ses besoins, le suivi et la coordination au niveau médical et thérapeutique.</w:t>
      </w:r>
    </w:p>
    <w:p>
      <w:r>
        <w:t>Les recourants relèvent encore que leur intérêt digne de protection à un juge impartial ne se limite pas à la procédure de réintégration auprès de la mère biologique de l'enfant, puisque la magistrate mise en cause est également en charge de la requête qu'ils ont introduite le 7 septembre 2021 en vue de l'octroi en leur faveur d'un droit de visite sur l'enfant.</w:t>
      </w:r>
    </w:p>
    <w:p>
      <w:r>
        <w:t>Les recourants sont en définitive d'avis que les instances précédentes auraient dû entrer en matière sur leur requête en examinant les motifs de récusation qu'ils y avaient présentés et procéder aux mesures d'instruction utiles. En ne le faisant pas, elles avaient manifestement violé leur droit d'être entendus ainsi que la garantie d'un juge impartial.</w:t>
      </w:r>
    </w:p>
    <w:p>
      <w:r>
        <w:rPr>
          <w:b/>
        </w:rPr>
        <w:t>E. 3.4</w:t>
      </w:r>
    </w:p>
    <w:p>
      <w:r>
        <w:t>En l'espèce, il y a lieu de relever d'emblée que l'objet de la présente cause ne concerne que la récusation demandée dans le cadre de la procédure en réintégration d'un enfant mineur auprès de sa mère biologique, de sorte que l'intérêt que les recourants entendent tirer de la procédure qu'ils ont ultérieurement initiée aux fins de la fixation d'un droit de visite en leur faveur ne peut être pris en compte, quand bien même cette procédure serait instruite par la même magistrate. Ce pan de la critique est ainsi infondé.</w:t>
      </w:r>
    </w:p>
    <w:p>
      <w:r>
        <w:t>Pour le surplus, les recourants se bornent à soutenir qu'ils auraient un intérêt digne de protection à ce que les actes effectués dans le cadre de la procédure de réintégration soient effectués par un juge impartial. Ce faisant, ils perdent de vue la motivation de la décision querellée, la juridiction précédente ayant retenu qu'ils n'avaient pas d'intérêt à la récusation de la juge en charge de la procédure en réintégration de l'enfant, faute pour eux d'être parties à ladite procédure. A la lumière de l'ordonnance de première instance ainsi que des décisions rendues dans les procédures antérieures auxquelles la cour cantonale se réfère expressément, il ne fait aucun doute que celle-ci a nié la qualité de partie des recourants dans la procédure de réintégration sur la base de l'art. 35 let. b LaCC/GE même si elle ne mentionne pas directement cette disposition. Les recourants ne s'y sont d'ailleurs pas trompés puisqu'ils ont soulevé un grief de violation de l'art. 35 let. b LaCC/GE dans leur recours cantonal. Toutefois, dans leur présent recours, ils ne font pas valoir que cette disposition aurait été appliquée de manière arbitraire (cf.</w:t>
      </w:r>
    </w:p>
    <w:p>
      <w:r>
        <w:t>supra consid. 2.1) ou qu'elle serait, en tant que telle, contraire au droit fédéral ( art. 49 Cst. ). La simple affirmation - figurant dans leur réplique uniquement ( ATF 144 III 552 consid. 4.2; 143 II 283 consid. 1.2.3; 135 I 19 consid. 2.2) - selon laquelle " [la pratique genevoise] est également en contradiction avec le texte clair de l'art. 35 litt. b [LaCC/GE] " n'est pas de nature à remettre en cause ce constat. Par ailleurs, les recourants ne soutiennent pas non plus que le raisonnement de la cour cantonale selon lequel seule une partie à la procédure dispose d'un intérêt légitime à la récusation serait contraire au droit. Sous cet aspect, la critique est par conséquent irrecevable, faute de remplir les exigences de motivation susmentionnées (cf.</w:t>
      </w:r>
    </w:p>
    <w:p>
      <w:r>
        <w:t>supra consid. 2.1).</w:t>
      </w:r>
    </w:p>
    <w:p>
      <w:r>
        <w:rPr>
          <w:b/>
        </w:rPr>
        <w:t>E. 4</w:t>
      </w:r>
    </w:p>
    <w:p>
      <w:r>
        <w:t>En définitive, le recours est rejeté dans la mesure de sa recevabilité. Les recourants, qui succombent, supporteront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