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5A_362/2022 vom 19. Mai 2022</w:t>
      </w:r>
    </w:p>
    <w:p>
      <w:r>
        <w:t>Bundesgericht, 2022-05-19, DE</w:t>
      </w:r>
    </w:p>
    <w:p>
      <w:r>
        <w:rPr>
          <w:b/>
        </w:rPr>
        <w:t xml:space="preserve">Quelle: </w:t>
      </w:r>
      <w:r>
        <w:t>https://mcp.opencaselaw.ch/entscheid/bger_5A_362_2022</w:t>
      </w:r>
    </w:p>
    <w:p>
      <w:r>
        <w:t>FR: TF 5A_362/2022 du 19 mai 2022</w:t>
      </w:r>
    </w:p>
    <w:p>
      <w:r>
        <w:t>IT: TF 5A_362/2022 del 19 maggio 2022</w:t>
      </w:r>
    </w:p>
    <w:p>
      <w:pPr>
        <w:pStyle w:val="Heading2"/>
      </w:pPr>
      <w:r>
        <w:t>Erwägungen</w:t>
      </w:r>
    </w:p>
    <w:p>
      <w:r>
        <w:rPr>
          <w:b/>
        </w:rPr>
        <w:t>E. 1</w:t>
      </w:r>
    </w:p>
    <w:p>
      <w:r>
        <w:t>Die Beschwerde ist entgegen den Formerfordernissen von Art. 42 Abs. 1 BGG nicht unterschrieben. Eine auf Art. 42 Abs. 5 BGG gestützte Rückweisung zur Verbesserung des Mangels erübrigt sich aber insofern, als auf die Beschwerde ohnehin nicht eingetreten werden kann (dazu sogleich).</w:t>
      </w:r>
    </w:p>
    <w:p>
      <w:r>
        <w:rPr>
          <w:b/>
        </w:rPr>
        <w:t>E. 2</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Das Kantonsgericht hat sich mit der Beistandschaft und der Person und den Aufgaben des Beistandes in seinem 13-seitigen Entscheid ausführlich befasst. Die hiergegen gerichtete Beschwerdeschrift ist inhaltlich nur schwer leserlich (sinngemäss Betrugsvorwürfe an die KESB, die ihn mit zu wenig Geld ausstatte und mit welcher der Beschwerdeführer nichts mehr zu tun haben will) und nimmt keinen ersichtlichen Bezug auf die Erwägungen des angefochtenen Entscheides zum nach wie vor bestehenden Schwächezustand sowie zur Person und den (in keiner Hinsicht zu beanstandenden) Handlungen des Beistandes.</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