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5A_35/2022 vom 4. März 2022</w:t>
      </w:r>
    </w:p>
    <w:p>
      <w:r>
        <w:t>Bundesgericht, 2022-03-04, FR</w:t>
      </w:r>
    </w:p>
    <w:p>
      <w:r>
        <w:rPr>
          <w:b/>
        </w:rPr>
        <w:t xml:space="preserve">Quelle: </w:t>
      </w:r>
      <w:r>
        <w:t>https://mcp.opencaselaw.ch/entscheid/bger_5A_35_2022</w:t>
      </w:r>
    </w:p>
    <w:p>
      <w:r>
        <w:t>FR: TF 5A_35/2022 du 4 mars 2022</w:t>
      </w:r>
    </w:p>
    <w:p>
      <w:r>
        <w:t>IT: TF 5A_35/2022 del 4 marzo 2022</w:t>
      </w:r>
    </w:p>
    <w:p>
      <w:pPr>
        <w:pStyle w:val="Heading2"/>
      </w:pPr>
      <w:r>
        <w:t>Erwägungen</w:t>
      </w:r>
    </w:p>
    <w:p>
      <w:r>
        <w:rPr>
          <w:b/>
        </w:rPr>
        <w:t>E. 1</w:t>
      </w:r>
    </w:p>
    <w:p>
      <w:r>
        <w:t>Par arrêt du 26 novembre 2021, la Chambre civile de la Cour de justice du canton de Genève a déclaré recevables les appels interjetés respectivement le 28 juin 2021 par B.________ et le 5 juillet 2021 par A.________ contre l'ordonnance de mesures provisionnelles rendue pour la durée du divorce le 15 juin 2021 par le Tribunal de première instance de Genève, annulé le chiffre 2 du dispositif de cette ordonnance et, statuant à nouveau sur ce point, condamné l'épouse, B.________, à verser à A.________, par mois et d'avance, dès le 1er janvier 2021, la somme de 3'200 fr. à titre de contribution à son entretien.</w:t>
      </w:r>
    </w:p>
    <w:p>
      <w:r>
        <w:rPr>
          <w:b/>
        </w:rPr>
        <w:t>E. 2</w:t>
      </w:r>
    </w:p>
    <w:p>
      <w:r>
        <w:t>Par acte remis à la Poste suisse le 15 janvier 2022, A.________ exerce un recours en matière civile au Tribunal fédéral, concluant en substance à ce que son épouse soit condamnée à lui verser une contribution d'entretien de 9'995 fr. par mois et un capital de 1'000'000 fr.</w:t>
      </w:r>
    </w:p>
    <w:p>
      <w:r>
        <w:rPr>
          <w:b/>
        </w:rPr>
        <w:t>E. 3</w:t>
      </w:r>
    </w:p>
    <w:p>
      <w:r>
        <w:t>Lorsque, comme en l'espèce, le recours est dirigé contre une décision de mesures provisionnelles rendue pour la durée de la procédure de divorce, à savoir une décision de mesures provisionnelles au sens de l' art. 98 LTF ( ATF 133 III 393 consid. 5.1),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d'emblée irrecevables ( ATF 142 III 364 consid. 2.4 et la référence).</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4</w:t>
      </w:r>
    </w:p>
    <w:p>
      <w:r>
        <w:t>En l'occurrence, le recourant - qui a méconnu la cognition limitée du Tribunal fédéral lorsqu'il est saisi d'un recours contre des mesures provisionnelles (cf.</w:t>
      </w:r>
    </w:p>
    <w:p>
      <w:r>
        <w:t>supra consid. 3) - discute la cause et présente sa propre version des faits et de l'application du droit à la cause, sans soulever aucun grief de nature constitutionnelle soulevé avec précision et de manière détaillée, contre la motivation du jugement déféré. Il ne démontre ainsi pas quel droit fondamental il estime avoir été violé par l'autorité précédente et pour quelle raison une telle violation devrait être admise. Le recours ne satisfait par conséquent d'emblée pas aux exigences de motivation de l' art. 106 al. 2 LTF et doit être déclaré irrecevable.</w:t>
      </w:r>
    </w:p>
    <w:p>
      <w:r>
        <w:rPr>
          <w:b/>
        </w:rPr>
        <w:t>E. 5</w:t>
      </w:r>
    </w:p>
    <w:p>
      <w:r>
        <w:t>En définitive, le présent recours, qui ne correspond pas aux exigences minimales de motivation, doit être déclaré irrecevable selon la procédure simplifiée de l' art. 108 al. 1 let. b LTF .</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