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5A_35/2021 vom 3. Februar 2021</w:t>
      </w:r>
    </w:p>
    <w:p>
      <w:r>
        <w:t>Bundesgericht, 2021-02-03, DE</w:t>
      </w:r>
    </w:p>
    <w:p>
      <w:r>
        <w:rPr>
          <w:b/>
        </w:rPr>
        <w:t xml:space="preserve">Quelle: </w:t>
      </w:r>
      <w:r>
        <w:t>https://mcp.opencaselaw.ch/entscheid/bger_5A_35_2021</w:t>
      </w:r>
    </w:p>
    <w:p>
      <w:r>
        <w:t>FR: TF 5A_35/2021 du 3 février 2021</w:t>
      </w:r>
    </w:p>
    <w:p>
      <w:r>
        <w:t>IT: TF 5A_35/2021 del 3 febbraio 2021</w:t>
      </w:r>
    </w:p>
    <w:p>
      <w:pPr>
        <w:pStyle w:val="Heading2"/>
      </w:pPr>
      <w:r>
        <w:t>Erwägungen</w:t>
      </w:r>
    </w:p>
    <w:p>
      <w:r>
        <w:rPr>
          <w:b/>
        </w:rPr>
        <w:t>E. 1</w:t>
      </w:r>
    </w:p>
    <w:p>
      <w:r>
        <w:t>Angefochten ist ein sich auf Art. 961 Abs. 1 Ziff. 1 ZGB stützendes kantonal letztinstanzliches Urteil ( Art. 75 Abs. 1 und 2 lit. a BGG ), mit welchem das Gesuch der Beschwerdeführerin um vorläufige Eintragung von zwei Bauhandwerkerpfandrechten abgewiesen wurde.</w:t>
      </w:r>
    </w:p>
    <w:p>
      <w:r>
        <w:t>Dabei handelt es sich um einen Endentscheid im Sinne von Art. 90 BGG ( BGE 137 III 589 E. 1.2.2 S. 591) über eine vermögensrechtliche Zivilsache mit Fr. 30'000.-- übersteigendem Streitwert (Art. 72 Abs. 1 und Art. 74 Abs. 1 Bst. b BGG). Die Beschwerde in Zivilsachen steht somit offen.</w:t>
      </w:r>
    </w:p>
    <w:p>
      <w:r>
        <w:rPr>
          <w:b/>
        </w:rPr>
        <w:t>E. 2</w:t>
      </w:r>
    </w:p>
    <w:p>
      <w:r>
        <w:t>Entscheide im Zusammenhang mit der vorläufigen Eintragung von Bauhandwerkerpfandrechten ( Art. 961 Abs. 1 Ziff. 1 ZGB ) gelten als vorsorgliche Massnahmen im Sinne von Art. 98 BGG (Urteile 5A_613/2015 vom 22. Januar 2016 E. 1; 5A_849/2016 vom 28. März 2017 E. 2.2; 5A_786/2019 vom 28. Januar 2020 E. 2), mit welcher nur die Verletzung verfassungsmässiger Rechte gerügt werden kann. In diesem Bereich gilt das strenge Rügeprinzip von Art. 106 Abs. 2 BGG ; das bedeutet, dass klar und detailliert anhand der Erwägungen des angefochtenen Entscheids darzulegen ist, inwiefern verfassungsmässige Rechte verletzt worden sein sollen, während auf ungenügend begründete Rügen und rein appellatorische Kritik am angefochtenen Entscheid nicht einzutreten ist ( BGE 134 II 244 E. 2.2 S. 246 ; 139 I 229 E. 2.2 S. 232 ; 141 I 36 E. 1.3 S. 41; 142 II 369 E. 2.1 S. 372; 142 III 364 E. 2.4 S. 368).</w:t>
      </w:r>
    </w:p>
    <w:p>
      <w:r>
        <w:rPr>
          <w:b/>
        </w:rPr>
        <w:t>E. 3</w:t>
      </w:r>
    </w:p>
    <w:p>
      <w:r>
        <w:t>Die Beschwerdeführerin macht keinerlei Verfassungsverletzungen geltend und ihre rein appellatorischen Ausführungen vermögen auch inhaltlich den an Verfassungsrügen zu stellenden Begründungsanforderungen nicht zu genügen, umso mehr als sie sich primär mit (unbelegten) Behauptungen gegen die Sachverhaltsfeststellung und Beweiswürdigung des Handelsgerichtes wenden, die für das Bundesgericht grundsätzlich verbindlich ist ( Art. 105 Abs. 1 BGG ) und in welcher Hinsicht selbst in Bereichen mit freier Rechtskognition - also ausserhalb von Art. 98 BGG - nur substanziierte Verfassungsrügen, namentlich die Rüge willkürlicher Beweiswürdigung und Sachverhaltsfeststellung zulässig wäre (Art. 97 Abs. 1 i.V.m. Art. 106 Abs. 2 BGG ; BGE 140 III 264 E. 2.3 S. 266; 141 IV 249 E. 1.3.1 S. 253 ; 143 I 310 E. 2.2 S. 313).</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Bei diesem Verfahrensausgang wird die Beschwerdeführerin kosten- und entschädigungspflichtig ( Art. 66 Abs. 1 und Art. 68 Abs. 2 BGG ), wobei zu berücksichtigen ist, dass die Beschwerdegegnerin 1 nur Rechtsbegehren gestellt und im Übrigen festgehalten hat, die Beschwerdegegnerin 2 führe an ihrer Stelle den Prozess als Prozessstandschafterin.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