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359/2021 vom 5. Januar 2022</w:t>
      </w:r>
    </w:p>
    <w:p>
      <w:r>
        <w:t>Bundesgericht, 2022-01-05, FR</w:t>
      </w:r>
    </w:p>
    <w:p>
      <w:r>
        <w:rPr>
          <w:b/>
        </w:rPr>
        <w:t xml:space="preserve">Quelle: </w:t>
      </w:r>
      <w:r>
        <w:t>https://mcp.opencaselaw.ch/entscheid/bger_5A_359_2021</w:t>
      </w:r>
    </w:p>
    <w:p>
      <w:r>
        <w:t>FR: TF 5A 359/2021 du 5 janvier 2022</w:t>
      </w:r>
    </w:p>
    <w:p>
      <w:r>
        <w:t>IT: TF 5A 359/2021 del 5 gennaio 2022</w:t>
      </w:r>
    </w:p>
    <w:p>
      <w:pPr>
        <w:pStyle w:val="Heading2"/>
      </w:pPr>
      <w:r>
        <w:t>Regeste</w:t>
      </w:r>
    </w:p>
    <w:p>
      <w:r>
        <w:t>action en réduction, conciliation (validité de la procuration et intérêt à agir) | Droit des successions</w:t>
      </w:r>
    </w:p>
    <w:p>
      <w:pPr>
        <w:pStyle w:val="Heading2"/>
      </w:pPr>
      <w:r>
        <w:t>Erwägungen</w:t>
      </w:r>
    </w:p>
    <w:p>
      <w:r>
        <w:rPr>
          <w:b/>
        </w:rPr>
        <w:t>E. 1</w:t>
      </w:r>
    </w:p>
    <w:p>
      <w:r>
        <w:t>Les deux recours sont dirigés contre le même arrêt et concernent le même complexe de faits. Par économie de procédure, il se justifie dès lors de joindre les deux causes et de statuer dans un seul arrêt ( art. 24 PCF applicable par analogie vu le renvoi de l' art. 71 LTF ; cf. ATF 133 IV 215 consid. 1; 131 V 59 consid. 1; 124 III 382 consid. 1a; 123 II 16 consid. 1).</w:t>
      </w:r>
    </w:p>
    <w:p>
      <w:r>
        <w:rPr>
          <w:b/>
        </w:rPr>
        <w:t>E. 2</w:t>
      </w:r>
    </w:p>
    <w:p>
      <w:r>
        <w:t>Le Tribunal fédéral examine d'office et librement la recevabilité des recours qui lui sont soumis ( ATF 145 I 239 consid. 2).</w:t>
      </w:r>
    </w:p>
    <w:p>
      <w:r>
        <w:rPr>
          <w:b/>
        </w:rPr>
        <w:t>E. 2.1</w:t>
      </w:r>
    </w:p>
    <w:p>
      <w:r>
        <w:t>L'arrêt attaqué est un arrêt rendu par une autorité cantonale de dernière instance confirmant la décision du premier juge de suspendre la procédure de conciliation dans une affaire civile. Cette décision n'a pas terminé la contestation pendante devant l'autorité de conciliation; il ne s'agit donc pas d'une décision finale susceptible de recours selon l' art. 90 LTF . Or, le recours au Tribunal fédéral n'est en principe recevable que contre les décisions de cette nature; un recours séparé contre des décisions préjudicielles ou incidentes, hormis celles portant sur la compétence ou la récusation visées par l' art. 92 LTF , n'est recevable qu'aux conditions spécifiques prévues par l' art. 93 LTF .</w:t>
      </w:r>
    </w:p>
    <w:p>
      <w:r>
        <w:rPr>
          <w:b/>
        </w:rPr>
        <w:t>E. 2.2.1</w:t>
      </w:r>
    </w:p>
    <w:p>
      <w:r>
        <w:t>A teneur de l' art. 92 al. 1 LTF , les décisions préjudicielles et incidentes qui sont notifiées séparément et qui portent sur la compétence peuvent faire l'objet d'un recours. La loi requiert que la décision soit notifiée séparément, et donc indépendamment du jugement au fond. Pour qu'une décision puisse être qualifiée de décision incidente sur la compétence au sens de l' art. 92 al. 1 LTF , il faut que la question de la compétence soit effectivement et définitivement tranchée ( ATF 144 III 475 consid. 1.1.2; arrêt 4A_264/2018 du 7 juin 2018 consid. 2.1 et les références, résumé in RSDIE 2018 p. 409).</w:t>
      </w:r>
    </w:p>
    <w:p>
      <w:r>
        <w:rPr>
          <w:b/>
        </w:rPr>
        <w:t>E. 2.2.2</w:t>
      </w:r>
    </w:p>
    <w:p>
      <w:r>
        <w:t>Dans le recours 5A_359/2021, le recourant fait valoir que la décision de suspension de l'instance pour cause de litispendance est une décision incidente portant sur la compétence. Cette argumentation n'est pas pertinente. En effet, le recourant ne soulève aucun grief relatif à la compétence de l'autorité vaudoise, mais se plaint du défaut de représentation de la requérante à la procédure de conciliation, faute de procuration spéciale.</w:t>
      </w:r>
    </w:p>
    <w:p>
      <w:r>
        <w:rPr>
          <w:b/>
        </w:rPr>
        <w:t>E. 2.3.1</w:t>
      </w:r>
    </w:p>
    <w:p>
      <w:r>
        <w:t>L' art. 93 al. 1 let. a LTF prévoit que les décisions incidentes propres à causer un préjudice irréparable peuvent être attaquées séparément de la décision finale. Selon la jurisprudence, l'exigence d'un préjudice irréparable n'est pas opposable à la partie recourante lorsque celle-ci expose et rend vraisemblable que l'ordonnance de suspension qu'elle conteste entraînera une violation du principe de la célérité, c'est-à-dire du droit de tout justiciable à ce que sa cause soit jugée dans un délai raisonnable, garanti par l' art. 29 al. 1 Cst. ( ATF 143 III 416 consid. 1.4; 138 III 190 consid. 6; arrêt 4A_386/2020 du 17 août 2020 consid. 5, publié in SJ 2021 I p. 33). En l'occurrence, dans le recours 5A_359/2021, le recourant se réfère au principe de la célérité dans ses griefs pour faire valoir que l'attitude de l'intimée vise à " surcharger les tribunaux ". Toutefois, il ne tente pas par cet argument de démontrer que, compte tenu de la nature du procès concerné, la suspension litigieuse risquerait de différer le jugement final au-delà de ce qui est raisonnable. Ce moyen est insuffisamment motivé, de sorte que le recours n'échappe pas aux exigences de l' art. 93 LTF .</w:t>
      </w:r>
    </w:p>
    <w:p>
      <w:r>
        <w:rPr>
          <w:b/>
        </w:rPr>
        <w:t>E. 2.3.2</w:t>
      </w:r>
    </w:p>
    <w:p>
      <w:r>
        <w:t>Aux termes de l' art. 93 al. 1 let. b LTF - disposition invoquée par les deux recourants -, les décisions préjudicielles et incidentes (autres que sur la compétence et la récusation) peuvent faire l'objet d'un recours si l'admission de celui-ci peut, d'une part, conduire immédiatement à une décision finale et permet, d'autre part, d'éviter une procédure probatoire longue et coûteuse. Il s'agit de conditions cumulatives ( ATF 133 III 629 consid. 2.4.1). La possibilité de recourir immédiatement pour des motifs d'économie de la procédure doit, au surplus, être interprétée restrictivement ( ATF 134 III 426 consid. 1.3.2). En l'espèce, la première des conditions n'est d'emblée pas réalisée. Les recourants réclament que la cause soit rayée du rôle en raison du défaut de la partie requérante à l'audience de conciliation. Or, la décision attaquée a pour objet la suspension de la procédure de conciliation, et non le sort à réserver à celle-ci. Le Tribunal fédéral ne pourrait donc qu'ordonner la reprise de la procédure, et non rendre lui-même un jugement final en réformant la décision préjudicielle ou incidente attaquée. Les recourants semblent du reste ignorer que même l'autorisation de procéder, qui seule leur serait défavorable au vu du but qu'ils poursuivent, ne leur permettrait pas encore de recourir. En effet, une autorisation de procéder valable est une condition de recevabilité de la demande, que le tribunal doit, sous réserve de la compétence à raison du lieu de l'autorité qui a délivré l'autorisation de procéder ( ATF 146 III 265 consid. 5.5.3), examiner d'office ( art. 60 CPC ; ATF 140 III 227 consid. 3.2). Exception faite des frais fixés par l'autorité de conciliation, cette autorisation, bien que consistant en un acte d'une autorité, n'est pas une décision sujette à recours; sa validité doit être examinée par le tribunal saisi de la cause ( ATF 141 III 159 consid. 2.1; 140 III 227 consid. 3.1; 139 III 273 consid. 2.3), de sorte que le Tribunal fédéral ne connaît pas de ces décisions ( art. 75 al. 1 LTF ). Pourrait entrer en considération en revanche à titre de décision attaquable, la décision de dernière instance cantonale confirmant le refus du premier juge de limiter la procédure à l'examen de la recevabilité de l'action à la lumière d'un vice affectant la procédure préalable de conciliation ( art. 125 let. a CPC ). Il faudrait néanmoins que le recourant démontre subir de ce fait un préjudice irréparable ( art. 93 al. 1 let. a LTF ), étant précisé que, dans cette hypothèse également, la recevabilité du recours ne peut se fonder sur l' art. 93 al. 1 let. b LTF , dès lors que l'admission de celui-ci ne peut pas conduire immédiatement à une décision finale, mais uniquement à une injonction de statuer sur la recevabilité ( ATF 147 III 159 consid. 3 et 4.2). A défaut, la question de la validité de l'autorisation de procéder sera examinée contre un recours dirigé contre la décision au fond (ATF 141 III précité consid. 2.1). Par surabondance, la seconde condition n'est d'ailleurs pas non plus remplie. Les recourants n'exposent avec précision ni les mesures probatoires à mettre en oeuvre, ni le coût de celles-ci ( ATF 133 III 629 consid. 2.4.2). L'un se borne à relever que la requête de conciliation présente 35 conclusions dont certaines ont trait à la liquidation du régime matrimonial, alors que l'autre affirme sans autre explication que l'annonce d'une expertise de l'intimée ainsi que le domicile à l'étranger des parties et des témoins, qu'il s'agit d'un procès exceptionnel au cours duquel l'administration de preuves s'annonce particulièrement longue et coûteuse.</w:t>
      </w:r>
    </w:p>
    <w:p>
      <w:r>
        <w:rPr>
          <w:b/>
        </w:rPr>
        <w:t>E. 3</w:t>
      </w:r>
    </w:p>
    <w:p>
      <w:r>
        <w:t>Il suit de là que les recours, joints au préalable, doivent être déclarés irrecevables. Les frais judiciaires, arrêtés à 10'000 fr., sont solidairement mis à la charge des recourants (art. 66 al 1 et 5 LTF). Aucuns dépens ne sont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