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358/2022 vom 23. Mai 2022</w:t>
      </w:r>
    </w:p>
    <w:p>
      <w:r>
        <w:t>Bundesgericht, 2022-05-23, DE</w:t>
      </w:r>
    </w:p>
    <w:p>
      <w:r>
        <w:rPr>
          <w:b/>
        </w:rPr>
        <w:t xml:space="preserve">Quelle: </w:t>
      </w:r>
      <w:r>
        <w:t>https://mcp.opencaselaw.ch/entscheid/bger_5A_358_2022</w:t>
      </w:r>
    </w:p>
    <w:p>
      <w:r>
        <w:t>FR: TF 5A 358/2022 du 23 mai 2022</w:t>
      </w:r>
    </w:p>
    <w:p>
      <w:r>
        <w:t>IT: TF 5A 358/2022 del 23 maggio 2022</w:t>
      </w:r>
    </w:p>
    <w:p>
      <w:pPr>
        <w:pStyle w:val="Heading2"/>
      </w:pPr>
      <w:r>
        <w:t>Regeste</w:t>
      </w:r>
    </w:p>
    <w:p>
      <w:r>
        <w:t>Pfändung | Schuldbetreibungs- und Konkursrecht</w:t>
      </w:r>
    </w:p>
    <w:p>
      <w:pPr>
        <w:pStyle w:val="Heading2"/>
      </w:pPr>
      <w:r>
        <w:t>Erwägungen</w:t>
      </w:r>
    </w:p>
    <w:p>
      <w:r>
        <w:rPr>
          <w:b/>
        </w:rPr>
        <w:t>E. 1</w:t>
      </w:r>
    </w:p>
    <w:p>
      <w:r>
        <w:t>Mit Verfügung vom 17. März 2022 pfändete das Betreibungsamt Thal-Gäu (Pfändung Nr. xxx) ein Guthaben von Fr. 1'035.40 (inklusive Zinsen und Kosten) auf einem Konto des Schuldners (Beschwerdeführers). Dagegen erhob der Beschwerdeführer am 25. März 2022 (Postaufgabe) Beschwerde. Mit Urteil vom 4. Mai 2022 trat die Aufsichtsbehörde für Schuldbetreibung und Konkurs des Kantons Solothurn auf die Beschwerde nicht ein. Dagegen hat der Beschwerdeführer am 16. Mai 2022 (Postaufgabe) Beschwerde an das Bundesgericht erhoben. Das Bundesgericht hat die Akten beigezogen.</w:t>
      </w:r>
    </w:p>
    <w:p>
      <w:r>
        <w:rPr>
          <w:b/>
        </w:rPr>
        <w:t>E. 2</w:t>
      </w:r>
    </w:p>
    <w:p>
      <w:r>
        <w:t>Angefochten ist ein Nichteintretensentscheid. Thema des bundesgerichtlichen Verfahrens ist demnach einzig, ob die Aufsichtsbehörde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geht jedoch nicht auf die Erwägungen ein, mit denen die Aufsichtsbehörde ihren Nichteintretensentscheid begründet hat (mangelhafte Begründung der Beschwerde; keine Zuständigkeit des Betreibungsamts oder der Aufsichtsbehörde, um über den Bestand der in Betreibung gesetzten Forderungen zu entscheiden; pauschale Vorwürfe gegen das Betreibungsamt). Stattdessen schildert er, dass das Betreibungsamt seit Jahren einen Teil seines Lohnes gepfändet habe, dass seine angeblichen Schulden hauptsächlich mit Steuerforderungen begründet würden und wie es infolge der Lohnpfändungen zur Ausstellung von Verlustscheinen in sechsstelliger Höhe gekommen sei. Er habe diese Summe zurückgefordert und Genugtuung, die Löschung aller Verlustscheine und der Einträge im Schuldenregister verlangt. Da er dies nicht könne, verlange er, dass die Übermächtigen die Suppe selbst auslöffeln, die sie ihm eingebrockt hätten. Letzteres stellt keinen genügenden Antrag dar, da unklar ist, was der Beschwerdeführer damit genau fordert. An seinen Begehren auf Rückzahlung etc. scheint er nicht festzuhalten. Die Beschwerde ist damit offensichtlich unzulässig und sie enthält offensichtlich keine hinreichende Begründung. Auf sie ist im vereinfachten Verfahren durch den Abteilungspräsidenten nicht einzutreten ( Art. 108 Abs. 1 lit. a und b BGG ).</w:t>
      </w:r>
    </w:p>
    <w:p>
      <w:r>
        <w:rPr>
          <w:b/>
        </w:rPr>
        <w:t>E. 3</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