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358/2012 vom 13. August 2012</w:t>
      </w:r>
    </w:p>
    <w:p>
      <w:r>
        <w:t>Bundesgericht, 2012-08-13, DE</w:t>
      </w:r>
    </w:p>
    <w:p>
      <w:r>
        <w:rPr>
          <w:b/>
        </w:rPr>
        <w:t xml:space="preserve">Quelle: </w:t>
      </w:r>
      <w:r>
        <w:t>https://mcp.opencaselaw.ch/entscheid/bger_5A_358_2012</w:t>
      </w:r>
    </w:p>
    <w:p>
      <w:r>
        <w:t>FR: TF 5A 358/2012 du 13 août 2012</w:t>
      </w:r>
    </w:p>
    <w:p>
      <w:r>
        <w:t>IT: TF 5A 358/2012 del 13 agosto 2012</w:t>
      </w:r>
    </w:p>
    <w:p>
      <w:pPr>
        <w:pStyle w:val="Heading2"/>
      </w:pPr>
      <w:r>
        <w:t>Regeste</w:t>
      </w:r>
    </w:p>
    <w:p>
      <w:r>
        <w:t>Nebenfolgen der Ehescheidung | Familienrecht</w:t>
      </w:r>
    </w:p>
    <w:p>
      <w:pPr>
        <w:pStyle w:val="Heading2"/>
      </w:pPr>
      <w:r>
        <w:t>Erwägungen</w:t>
      </w:r>
    </w:p>
    <w:p>
      <w:r>
        <w:rPr>
          <w:b/>
        </w:rPr>
        <w:t>E. 1</w:t>
      </w:r>
    </w:p>
    <w:p>
      <w:r>
        <w:t>Die Verfahren 5A_358/2012 und 5A_359/2012 betreffen die gleichen Parteien und beziehen sich auf den gleichen angefochtenen Entscheid. Sie sind daher zu vereinigen.</w:t>
      </w:r>
    </w:p>
    <w:p>
      <w:r>
        <w:rPr>
          <w:b/>
        </w:rPr>
        <w:t>E. 2</w:t>
      </w:r>
    </w:p>
    <w:p>
      <w:r>
        <w:t>Die Parteien beantragen gemeinsam hauptsächlich, die Vereinbarung vom 14./15. Mai 2012 zu genehmigen.</w:t>
      </w:r>
    </w:p>
    <w:p>
      <w:r>
        <w:rPr>
          <w:b/>
        </w:rPr>
        <w:t>E. 2.1</w:t>
      </w:r>
    </w:p>
    <w:p>
      <w:r>
        <w:t>Unter Herrschaft des Bundesrechtspflegegesetzes von 1943 (BS 3 351) hat das Bundesgericht im Verfahren der eidgenössischen Berufung neu eingereichte Vereinbarungen der Ehegatten über die Scheidungsfolgen geprüft und gerichtlich genehmigt, und zwar unabhängig davon, ob eine Vereinbarung die der freien Verfügung der Ehegatten unterliegenden vermögensrechtlichen Fragen betraf (z.B. Beschlüsse 5C.28/2001 und 5C.34/2001 vom 28. Mai 2002 [Güterrecht]; Urteil 5C.41/1993 vom 13. April 1993 [Güterrecht]; Urteil 5C.165/1993 vom 26. Oktober 1993 [nachehelicher Unterhalt]; Beschluss 5C.252/1991 vom 20. Mai 1992 [nachehelicher Unterhalt]) oder sich auch auf die von der Offizialmaxime beherrschten Kinderbelange bezog (z.B. Urteil 5C.183/2002 vom 24. Februar 2003; Urteil 5C.112/1990 vom 7. September 1990). Wo die Ehegatten nach Erhebung der eidgenössischen Berufung eine Vereinbarung über die Scheidungsfolgen geschlossen, aber einem kantonalen Sachgericht zur Genehmigung eingereicht haben, hat das Bundesgericht das Verfahren praxisgemäss sistiert und nach Vorliegen der Genehmigung als erledigt abgeschrieben (z.B. Verfügung 5C.252/1995 vom 8. März 1996). Unter welchen Voraussetzungen die Vereinbarung direkt dem Bundesgericht eingereicht werden kann oder zunächst beim kantonalen Sachgericht einzureichen ist, hat das Bundesgericht bisher nicht entschieden (vgl. unten E. 1.3). Den jeweiligen Berufungsantrag, die neu eingereichte Vereinbarung über die Scheidungsfolgen gerichtlich zu genehmigen und das Verfahren abzuschreiben, hat das Bundesgericht als prozessualen Antrag behandelt und nicht als neues, im Verfahren der eidgenössischen Berufung unzulässiges Begehren ( Art. 55 Abs. 1 lit. b OG ; allgemein: MESSMER/IMBODEN, Die eidgenössischen Rechtsmittel in Zivilsachen, 1992, S. 152/153 bei/in Anm. 15, mit Hinweisen). Denn Anträge, die das Rechtsmittelverfahren betreffen, müssen notwendigerweise im Rechtsmittelverfahren gestellt werden können, auch wenn sie neu sind (vgl. GULDENER, Schweizerisches Zivilprozessrecht, 3. Aufl. 1979, S. 489 in Anm. 45).</w:t>
      </w:r>
    </w:p>
    <w:p>
      <w:r>
        <w:rPr>
          <w:b/>
        </w:rPr>
        <w:t>E. 2.2</w:t>
      </w:r>
    </w:p>
    <w:p>
      <w:r>
        <w:t>An der bisherigen Praxis ist nach Inkrafttreten des Bundesgesetzes über das Bundesgericht (Bundesgerichtsgesetz, BGG; SR 173.110) grundsätzlich festzuhalten, sodass gerichtliche Vergleiche in der Regel weiterhin dem Bundesgericht zur Genehmigung unterbreitet werden können verbunden mit dem Antrag, das Verfahren durch Vergleich erledigt abzuschreiben. Zum einen sind Nova, die das Prozessrechtsverhältnis betreffen, weder neue Tatsachen und Beweismittel ( Art. 99 Abs. 1 BGG ) noch neue Begehren ( Art. 99 Abs. 2 BGG ) und vor Bundesgericht deshalb voraussetzungslos zulässig (vgl. LORENZ MEYER, Wege zum Bundesgericht - Übersicht und Stolpersteine, ZBJV 146/2010 S. 797 ff. S. 880 Ziff. 6.5.5, mit Hinweisen). Zum anderen unterscheidet sich die Beschwerde in Zivilsachen in diesem Punkt nicht von der bisherigen eidgenössischen Berufung, sodass sich eine Änderung der Rechtsprechung auch deswegen nicht aufdrängt.</w:t>
      </w:r>
    </w:p>
    <w:p>
      <w:r>
        <w:rPr>
          <w:b/>
        </w:rPr>
        <w:t>E. 2.3</w:t>
      </w:r>
    </w:p>
    <w:p>
      <w:r>
        <w:t>Allerdings ist bezüglich der Vereinbarungen über die Scheidungsfolgen eine Präzisierung angebracht. Reichen die Parteien dem Bundesgericht einen gerichtlichen Vergleich ein, kann das Bundesgericht das Verfahren zufolge Vergleichs als gegenstandslos abschreiben, soweit der Vergleich das Verfahren auch tatsächlich erledigt ( Art. 73 BZP i.V.m. Art. 71 BGG ; vgl. Art. 32 Abs. 2 BGG ). Das Bundesgericht prüft den eingereichten Vergleich insoweit auf Vollständigkeit und Klarheit (vgl. Urteil 5A_828/2010 vom 28. März 2011 E. 4.1). Diese Prüfung kann aufgrund der Akten und der Parteieingaben erfolgen. Die Vereinbarung über die Scheidungsfolgen ist kein Vergleich in diesem Sinn. Sie bedarf zu ihrer Gültigkeit der gerichtlichen Genehmigung. Die erteilte Genehmigung bewirkt, dass die Vereinbarung über die Scheidungsfolgen ihren vertraglichen Charakter verliert und vollständiger Bestandteil des Urteils wird (vgl. BGE 105 II 166 E. 1 S. 168 f.: 119 II 297 E. 3b S. 301). Die Vereinbarung über die Scheidungsfolgen ist nicht nur auf ihre Vollständigkeit und Klarheit zu prüfen, sondern zusätzlich auf ihre rechtliche Zulässigkeit und ihre sachliche Angemessenheit, wobei die Prüfung der Angemessenheit beschränkt ist, soweit lediglich die vermögensrechtlichen Scheidungsfolgen zwischen den Ehegatten infrage stehen (vgl. BGE 102 II 65 E. 2 S. 68; 99 II 359 E. 3c S. 362). In der Regel kann das Bundesgericht die Genehmigungsvoraussetzungen aufgrund der Akten und der Parteieingaben selbstständig prüfen. In diesem Fall rechtfertigt es sich, das Verfahren wie bisher unmittelbar vor Bundesgericht abzuschliessen. Wie es sich verhält, wenn die Prüfung der Vereinbarung über die Scheidungsfolgen erschwert oder ausgeschlossen ist, was namentlich in Kinderbelangen der Fall sein kann, braucht hier nicht geklärt zu werden.</w:t>
      </w:r>
    </w:p>
    <w:p>
      <w:r>
        <w:rPr>
          <w:b/>
        </w:rPr>
        <w:t>E. 3</w:t>
      </w:r>
    </w:p>
    <w:p>
      <w:r>
        <w:t>Gegenstand der Vereinbarung vom 14./15. Mai 2012 bildet einmal der nacheheliche Unterhaltsbeitrag zugunsten der Beschwerdeführerin. Sie wird im Verhältnis zum angefochtenen Urteil des Kantonsgerichts insofern bessergestellt, als sie sich in Abänderung von Ziff. 1 Abs. 2 des Dispositivs nur die ab Mai 2012 für einen Invaliditätsgrad bis 50% ausgerichtete Invalidenrente der Invalidenversicherung anrechnen lassen muss. Der Beschwerdeführer ist mit dieser für ihn ungünstigeren Regelung einverstanden, sodass einer Genehmigung dieses Punktes der Vereinbarung nichts entgegensteht.</w:t>
      </w:r>
    </w:p>
    <w:p>
      <w:r>
        <w:rPr>
          <w:b/>
        </w:rPr>
        <w:t>E. 4</w:t>
      </w:r>
    </w:p>
    <w:p>
      <w:r>
        <w:t>Die Parteien vereinbaren überdies mit Bezug auf die Kosten des vorliegenden Verfahrens die hälftige Teilung der Gerichtskosten und sehen vor, dass jede Partei ihre eigenen Parteikosten trägt (Ziffer 4 der Vereinbarung). Dies entspricht der Regelung, die normalerweise bei einer gütlichen Einigung unter den Parteien vorgesehen wird. Sie ist daher zu genehmigen.</w:t>
      </w:r>
    </w:p>
    <w:p>
      <w:r>
        <w:rPr>
          <w:b/>
        </w:rPr>
        <w:t>E. 5</w:t>
      </w:r>
    </w:p>
    <w:p>
      <w:r>
        <w:t>Die Scheidungsvereinbarung kann somit genehmigt und in das Urteilsdispositiv aufgenommen werden. Die übereinstimmenden Anträge der Parteien sind deshalb gutzuheissen und die kantonal geregelte Scheidungsfolge abzuändern. Die Beschwerdeverfahren sind damit als durch den Vergleich und dessen Genehmigung erledigt abzuschreiben. Im vorliegenden Fall besteht kein Anlass, auf die Erhebung von Gerichtskosten zu verzichten ( Art. 66 Abs. 1 BGG ), sodass einem entsprechenden Antrag der Beschwerdeführerin nicht entsprochen werden kann. Die Gerichtskosten werden vereinbarungsgemäss jeder Partei zur Hälfte auferlegt ( Art. 66 Abs. 1 BGG ), wobei beide Parteien für den ganzen Betrag solidarisch haften ( Art. 66 Abs. 5 BGG ). Der Vereinbarung entsprechend werden keine Parteientschädigungen gesprochen ( Art. 68 Abs. 1 BGG ).</w:t>
      </w:r>
    </w:p>
    <w:p>
      <w:r>
        <w:rPr>
          <w:b/>
        </w:rPr>
        <w:t>E. 6</w:t>
      </w:r>
    </w:p>
    <w:p>
      <w:r>
        <w:t>Die Beschwerdeführerin ersucht um unentgeltliche Rechtspflege für das Beschwerdeverfahren. Die unentgeltliche Rechtspflege ist im Verhältnis zum Prozesskostenvorschuss subsidiär ( BGE 119 Ia 11 E. 3 S. 12, 134 E. 4 S. 135). Wer aber - wie hier - in der Scheidungsvereinbarung auf eine Parteientschädigung von der Gegenpartei verzichtet, verhält sich gleich mit Bezug auf die Gewährung eines Prozesskostenvorschusses. Wer auf die Gewährung eines Prozesskostenvorschusses seitens der Gegenpartei verzichtet, erfüllt folglich auch die Voraussetzungen für die Gewährung der unentgeltlichen Rechtspflege nicht bzw. hat mit der Unterzeichnung der Konvention auch auf die Gewährung der unentgeltlichen Rechtspflege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