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5A_354/2022 vom 18. Mai 2022</w:t>
      </w:r>
    </w:p>
    <w:p>
      <w:r>
        <w:t>Bundesgericht, 2022-05-18, DE</w:t>
      </w:r>
    </w:p>
    <w:p>
      <w:r>
        <w:rPr>
          <w:b/>
        </w:rPr>
        <w:t xml:space="preserve">Quelle: </w:t>
      </w:r>
      <w:r>
        <w:t>https://mcp.opencaselaw.ch/entscheid/bger_5A_354_2022</w:t>
      </w:r>
    </w:p>
    <w:p>
      <w:r>
        <w:t>FR: TF 5A_354/2022 du 18 mai 2022</w:t>
      </w:r>
    </w:p>
    <w:p>
      <w:r>
        <w:t>IT: TF 5A_354/2022 del 18 maggio 2022</w:t>
      </w:r>
    </w:p>
    <w:p>
      <w:pPr>
        <w:pStyle w:val="Heading2"/>
      </w:pPr>
      <w:r>
        <w:t>Erwägungen</w:t>
      </w:r>
    </w:p>
    <w:p>
      <w:r>
        <w:rPr>
          <w:b/>
        </w:rPr>
        <w:t>E. 1</w:t>
      </w:r>
    </w:p>
    <w:p>
      <w:r>
        <w:t>Der Verfahrensgegenstand kann im Instanzenzug nicht ausgedehnt werden; soweit mehr oder anderes verlangt wird, als von der Vorinstanz beurteilt wurde, ist darauf nicht einzutreten ( BGE 136 II 457 E. 4.2; 136 V 362 E. 3.4.2 ; 142 I 155 E. 4.4.2). Im Übrigen ist zu beachten, dass die Vorinstanz auf das Rechtsmittel des Beschwerdeführers nicht eingetreten ist; Anfechtungsgegenstand im bundesgerichtlichen Verfahren kann deshalb grundsätzlich nur die Frage sein, ob das Obergericht im Zusammenhang mit dem bezirksrätlichen Rückweisungsentscheid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Eine dahingehende Begründung findet sich in der Beschwerde nicht. Der Beschwerdeführer bringt (wie schon vor Obergericht) zum Ausdruck, dass er das Erbe gerne annehmen würde. Der Bezirksrat hat indes die Angelegenheit an die KESB zur neuen begründeten Entscheidung zurückgewiesen und vor dem Obergericht bildete mithin (noch) nicht die Frage der Ausschlagung den Anfechtungsgegenstand.</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