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5A_354/2020 vom 16. Juni 2020</w:t>
      </w:r>
    </w:p>
    <w:p>
      <w:r>
        <w:t>Bundesgericht, 2020-06-16, FR</w:t>
      </w:r>
    </w:p>
    <w:p>
      <w:r>
        <w:rPr>
          <w:b/>
        </w:rPr>
        <w:t xml:space="preserve">Quelle: </w:t>
      </w:r>
      <w:r>
        <w:t>https://mcp.opencaselaw.ch/entscheid/bger_5A_354_2020</w:t>
      </w:r>
    </w:p>
    <w:p>
      <w:r>
        <w:t>FR: TF 5A_354/2020 du 16 juin 2020</w:t>
      </w:r>
    </w:p>
    <w:p>
      <w:r>
        <w:t>IT: TF 5A_354/2020 del 16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23 avril 2020, la Chambre de surveillance des Offices des poursuites et faillites de la Cour de justice du canton de Genève a admis la plainte formée le 5 décembre 2019 par A.________ et B.________ contre la vente aux enchères et la décision d'adjudication à C.________ SA des immeubles xxx et yyy, situés à X.________, commune de Y.________, intervenue le 28 novembre 2019 dans le cadre de la liquidation de la faillite de D.________, annulé l'adjudication à C.________ SA des immeubles xxx et yyy, situés à X.________, commune de Y.________, au prix de 1'620'000 fr. intervenue lors de la vente aux enchères tenue le 28 novembre 2019, et invité l'Office à reprendre la vente dans le sens des considérants.</w:t>
      </w:r>
    </w:p>
    <w:p>
      <w:r>
        <w:rPr>
          <w:b/>
        </w:rPr>
        <w:t>E. 2</w:t>
      </w:r>
    </w:p>
    <w:p>
      <w:r>
        <w:t>Par acte du 11 mai 2020, A.________ et B.________ exercent un recours en matière civile au Tribunal fédéral, tendant à l'annulation de la reprise de la vente aux enchères dans le sens des considérants. Au préalable, les recourants ont sollicité l'effet suspensif à leur recours.</w:t>
      </w:r>
    </w:p>
    <w:p>
      <w:r>
        <w:t>Par ordonnance du 12 mai 2020 du Président de la IIe Cour de droit civil, les parties ont été invitées à se déterminer sur la requête d'effet suspensif.</w:t>
      </w:r>
    </w:p>
    <w:p>
      <w:r>
        <w:t>Par déterminations du 25 mai 2020, l'Office des faillites s'est opposé à l'octroi de la mesure sollicitée, alors que l'autorité précédente s'en est remise à justice. La société adjudicatrice ne s'est pas déterminée.</w:t>
      </w:r>
    </w:p>
    <w:p>
      <w:r>
        <w:rPr>
          <w:b/>
        </w:rPr>
        <w:t>E. 3</w:t>
      </w:r>
    </w:p>
    <w:p>
      <w:r>
        <w:t>Par acte du 20 mai 2020, les recourants déclarent retirer leur recours, exposant avoir trouvé un accord transactionnel avec l'Office et la société adjudicatrice.</w:t>
      </w:r>
    </w:p>
    <w:p>
      <w:r>
        <w:t>Il convient de prendre acte du retrait du recours et de rayer la cause 5A_354/2020 du rôle ( art. 73 PCF par renvoi de l' art. 71 LTF ; art. 32 al. 2 LTF ). A cet effet, le Président de la cour est compétent, en vertu de l' art. 32 al. 1 et 2 LTF .</w:t>
      </w:r>
    </w:p>
    <w:p>
      <w:r>
        <w:t>En règle générale, il appartient à la partie qui retire son recours de supporter les frais de procédure (ordonnance 5A_166/2014 du 25 mars 2014 avec les références). Les frais judiciaires incombent ainsi aux recourants ( art. 66 al. 1 LTF ).</w:t>
      </w:r>
    </w:p>
    <w:p>
      <w:r>
        <w:t>Néanmoins, les frais de procédure peuvent être réduits, voire remis, lorsque le recours est réglé par un désistement sans avoir causé un travail considérable au tribunal ( art. 66 al. 2 LTF ). En l'espèce, le retrait est intervenu seulement quelques jours avant l'échéance du délai pour le dépôt de déterminations quant à l'effet suspensif sollicité, sans que le Tribunal fédéral ait eu à statuer sur cette mesure. Il sied dès lors de mettre à la charge des recourants des frais judiciaires très réduits, à hauteur de 300 fr. ( art. 66 al. 1 LTF ). Il n'y a pas lieu d'allouer des dépens ( art. 68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