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5A_354/2017 vom 1. Dezember 2017</w:t>
      </w:r>
    </w:p>
    <w:p>
      <w:r>
        <w:t>Bundesgericht, 2017-12-01, DE</w:t>
      </w:r>
    </w:p>
    <w:p>
      <w:r>
        <w:rPr>
          <w:b/>
        </w:rPr>
        <w:t xml:space="preserve">Quelle: </w:t>
      </w:r>
      <w:r>
        <w:t>https://mcp.opencaselaw.ch/entscheid/bger_5A_354_2017</w:t>
      </w:r>
    </w:p>
    <w:p>
      <w:r>
        <w:t>FR: TF 5A_354/2017 du 1 décembre 2017</w:t>
      </w:r>
    </w:p>
    <w:p>
      <w:r>
        <w:t>IT: TF 5A_354/2017 del 1 dicembre 2017</w:t>
      </w:r>
    </w:p>
    <w:p>
      <w:pPr>
        <w:pStyle w:val="Heading2"/>
      </w:pPr>
      <w:r>
        <w:t>Erwägungen</w:t>
      </w:r>
    </w:p>
    <w:p>
      <w:r>
        <w:rPr>
          <w:b/>
        </w:rPr>
        <w:t>E. 1.1</w:t>
      </w:r>
    </w:p>
    <w:p>
      <w:r>
        <w:t>Angefochten ist ein kantonal letztinstanzlicher Entscheid der (einzigen) Aufsichtsbehörde in Schuldbetreibungs- und Konkurssachen, so dass die Beschwerde in Zivilsachen grundsätzlich gegeben ist ( Art. 72 Abs. 2 lit. a, Art. 74 Abs. 2 lit. c, Art. 75, Art. 90 BGG ). Hingegen ist der Antrag des Beschwerdeführers, es sei die Einziehung der Duplikat-Stempel des Betreibungsamts anzuordnen, bereits deshalb unzulässig, weil es sich um ein neues Begehren handelt ( Art. 99 Abs. 2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S. 286).</w:t>
      </w:r>
    </w:p>
    <w:p>
      <w:r>
        <w:rPr>
          <w:b/>
        </w:rPr>
        <w:t>E. 2.1</w:t>
      </w:r>
    </w:p>
    <w:p>
      <w:r>
        <w:t>Wie schon die Vorinstanz unter Berufung auf die bundesgerichtliche Rechtsprechung ( BGE 109 III 14 E. 1b S. 16 und 101 III 9 E. 1 S. 10) erwogen hat, beginnt die Frist für die Beschwerde, mit der geltend gemacht wird, das Betreibungsamt habe das Vorliegen eines gültigen Rechtsvorschlags zu Unrecht verneint, mit der Zustellung der Pfändungsurkunde zu laufen, es sei denn, das Betreibungsamt habe dem Schuldner seinen Entscheid über die Gültigkeit des Rechtsvorschlags schon vor der Fortsetzung der Betreibung durch eine formelle Verfügung eröffnet. Das Bundesgericht hat diese Grundsätze in einem aktuellen Urteil bestätigt und explizit festgehalten, dass sich der Betreibungsschuldner nach Ablauf der Beschwerdefrist mangels Vorliegens eines Nichtigkeitsgrundes nicht mehr auf einen gültig erhobenen Rechtsvorschlag berufen kann (Urteil 5A_383/2017 vom 3. November 2017 E. 4).</w:t>
      </w:r>
    </w:p>
    <w:p>
      <w:r>
        <w:rPr>
          <w:b/>
        </w:rPr>
        <w:t>E. 2.2</w:t>
      </w:r>
    </w:p>
    <w:p>
      <w:r>
        <w:t>Gemäss den unbestritten gebliebenen vorinstanzlichen Feststellungen sind vorliegend, nachdem das Betreibungsamt keinen Rechtsvorschlag protokolliert hatte, die Betreibungsverfahren Nrn. xxx und yyy gestützt auf die Begehren der Gläubiger fortgesetzt worden, wobei das Betreibungsamt dem Beschwerdeführer vor der Fortsetzung der Betreibung nicht mitgeteilt hatte, dass es dessen Rechtsvorschläge als nicht gültig erhoben erachtet. Am 16. August 2016 hat das Betreibungsamt zwei Verlustscheine ausgestellt. Der Beschwerdeführer hat die Anzeigen betreffend die Verlustscheine im August 2016 erhalten und dagegen im Februar 2017 bei der Vorinstanz Beschwerde erhoben.</w:t>
      </w:r>
    </w:p>
    <w:p>
      <w:r>
        <w:rPr>
          <w:b/>
        </w:rPr>
        <w:t>E. 2.3</w:t>
      </w:r>
    </w:p>
    <w:p>
      <w:r>
        <w:t>Aus dem Umstand, dass gemäss Art. 115 Abs. 1 SchKG die Pfändungsurkunde den Verlustschein im Sinne von Art. 149 SchKG bildet, wenn kein pfändbares Vermögen vorhanden ist, hat die Vorinstanz zutreffend gefolgert, dass der Beschwerdeführer dagegen, wenn er es nicht dabei hätte bewenden lassen wollen, binnen gesetzlicher Frist gemäss Art. 17 Abs. 2 SchKG hätte Beschwerde führen müssen. Diese Frist hat der Beschwerdeführer vorliegend offenkundig nicht eingehalten. Der in diesem Zusammenhang vorgetragenen Argumentation des Beschwerdeführers, er hätte gestützt auf den Grundsatz von Treu und Glauben einen Anspruch darauf gehabt, dass das Betreibungsamt ihm die zehntägige Beschwerdefrist explizit ansetzt, kann nicht gefolgt werden. Die Verlustscheine vom 16. August 2016 stellen entgegen der Auffassung des Beschwerdeführers (wie bereits die Pfändungsankündigungen) Verfügungen gemäss Art. 17 SchKG dar. Gemäss dem SchKG trifft die Pflicht, einen Entscheid mit einer Rechtsmittelbelehrung zu versehen, lediglich die kantonalen Aufsichtsbehörden (vgl. Art. 20a Abs. 2 Ziff. 4 SchKG ), nicht jedoch die Betreibungs- und Konkursämter ( BGE 142 III 643 E. 3.2 S. 647 mit Hinweisen; jüngst Urteil 5A_953/2016 vom 3. Juli 2017 E. 3.3.3, in: Pra 2017 S. 806). Die Vorinstanz hat daher kein Bundesrecht verletzt, wenn sie die Beschwerde als verspätet erachtet hat und auf die Sachverhaltsvorbringen des Beschwerdeführers zur geltend gemachten Rechtzeitigkeit der erhobenen Rechtsvorschläge aus diesem Grund nicht weiter eingegangen ist.</w:t>
      </w:r>
    </w:p>
    <w:p>
      <w:r>
        <w:rPr>
          <w:b/>
        </w:rPr>
        <w:t>E. 3</w:t>
      </w:r>
    </w:p>
    <w:p>
      <w:r>
        <w:t>Aus den dargelegten Gründen muss die Beschwerde abgewiesen werden, soweit darauf einzutreten ist. Angesichts der konkreten Umstände wird ausnahmsweise auf die Erhebung von Gerichtskosten verzichtet ( Art. 66 Abs. 1 Satz 2 BGG ). Da der Beschwerdeführer nicht anwaltlich vertreten ist, wird das Gesuch um unentgeltliche Rechtspflege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