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5A_353/2016 vom 7. Juli 2016</w:t>
      </w:r>
    </w:p>
    <w:p>
      <w:r>
        <w:t>Bundesgericht, 2016-07-07, DE</w:t>
      </w:r>
    </w:p>
    <w:p>
      <w:r>
        <w:rPr>
          <w:b/>
        </w:rPr>
        <w:t xml:space="preserve">Quelle: </w:t>
      </w:r>
      <w:r>
        <w:t>https://mcp.opencaselaw.ch/entscheid/bger_5A_353_2016</w:t>
      </w:r>
    </w:p>
    <w:p>
      <w:r>
        <w:t>FR: TF 5A_353/2016 du 7 juillet 2016</w:t>
      </w:r>
    </w:p>
    <w:p>
      <w:r>
        <w:t>IT: TF 5A_353/2016 del 7 luglio 2016</w:t>
      </w:r>
    </w:p>
    <w:p>
      <w:pPr>
        <w:pStyle w:val="Heading2"/>
      </w:pPr>
      <w:r>
        <w:t>Erwägungen</w:t>
      </w:r>
    </w:p>
    <w:p>
      <w:r>
        <w:rPr>
          <w:b/>
        </w:rPr>
        <w:t>E. 1.1</w:t>
      </w:r>
    </w:p>
    <w:p>
      <w:r>
        <w:t>Gegen Entscheide der oberen Aufsichtsbehörde in Schuldbetreibungs- und Konkurssachen ist die Beschwerde in Zivilsachen das zutreffende Rechtsmittel. Der Beschwerdeführer ist zur Beschwerdeführung berechtigt und hat die Beschwerde rechtzeitig eingereicht (Art. 72 Abs. 2 lit. a, Art. 74 Abs. 2 lit. c, Art. 75, Art. 76, Art. 90, Art. 100 Abs. 2 lit. a BGG ). Hingegen hat die erst nach Ablauf der Beschwerdefrist eingereichte Beschwerdeergänzung vom 19. Mai 2016 (Postaufgabe) unbeachtlich zu bleiben.</w:t>
      </w:r>
    </w:p>
    <w:p>
      <w:r>
        <w:rPr>
          <w:b/>
        </w:rPr>
        <w:t>E. 1.2</w:t>
      </w:r>
    </w:p>
    <w:p>
      <w:r>
        <w:t>Mit Beschwerde in Zivilsachen kann u.a. die Verletzung von Bundesrecht gerügt werden ( Art. 95 lit. a BGG ). Das Bundesgericht wendet das Recht in diesem Bereich grundsätzlich von Amtes wegen und mit freier Kognition an ( Art. 106 Abs. 1 BGG ). In der Beschwerdeschrift ist in gedrängter Form darzulegen, inwiefern der angefochtene Entscheid Recht verletzt ( Art. 42 Abs. 2 BGG ; BGE 134 III 102 E. 1.1 S. 104 f.). Die Verletzung verfassungsmässiger Rechte ist ebenfalls zu begründen ( Art. 106 Abs. 2 BGG ), wobei hier das Rügeprinzip gilt ( BGE 133 III 589 E. 2 S. 591).</w:t>
      </w:r>
    </w:p>
    <w:p>
      <w:r>
        <w:rPr>
          <w:b/>
        </w:rPr>
        <w:t>E. 2</w:t>
      </w:r>
    </w:p>
    <w:p>
      <w:r>
        <w:t>Die Vorinstanz hat erwogen, die Beschwerde vom 18. Dezember 2015 erfülle die Formerfordernisse nicht. Laut Rechtsmittelbelehrung der angefochtenen Verfügung und Art. 321 ZPO - welche Bestimmung im Kanton Schwyz für das kantonale Beschwerdeverfahren ergänzend zur Anwendung komme (vgl. dazu DIETH/WOHL, in: Kurzkommentar SchKG, 2. Aufl. 2014, N. 18 zu Art. 20a SchKG ) - müsse die Beschwerde innert der zehntägigen Frist von Art. 18 Abs. 1 SchKG der oberen kantonalen Aufsichtsbehörde schriftlich und begründet eingereicht werden. Innert der Beschwerdefrist habe der Beschwerdeführer allein die Zustellung des Protokolls und die Sicherstellung des Tonträgers verlangt, nicht hingegen dass der angefochtene Entscheid aufzuheben oder abzuändern sei. Da der Beschwerdeführer innert zehn Tagen keine hinreichend begründete Beschwerde erhoben habe, sei auf die Beschwerde nicht einzutreten. Soweit er sich erst nach der Zustellung des Protokolls in der Eingabe vom 1. Februar 2016 gegen die Verfügung der unteren Aufsichtsbehörde beschwere und deren Aufhebung verlange, seien diese Vorbringen und Anträge verspätet. Auch habe er weder nach der Zustellung des erstinstanzlichen Aktenüberweisungsschreibens samt Protokoll Ende 2015 noch nach der präsidialen Verfügung vom 11. Januar 2016, wonach eine Fristerstreckung für die Beschwerdebegründung nicht möglich sei, innert zehn Tagen ein Wiederherstellungsgesuch im Sinne von Art. 33 Abs. 4 SchKG gestellt.</w:t>
      </w:r>
    </w:p>
    <w:p>
      <w:r>
        <w:t>Materiell behandelt hat die Vorinstanz einzig den Antrag des Beschwerdeführers auf Zustellung der Protokolle der Verhandlung vom 20. Februar 2014 und der Sicherstellung des Tonträgers; da nur das Wesentliche und nicht wörtlich zu protokollieren sei und abgesehen davon dem Beschwerdeführer die Protokolle inzwischen von der oberen Aufsichtsbehörde zugestellt worden seien, sei dieser Antrag abzuweisen.</w:t>
      </w:r>
    </w:p>
    <w:p>
      <w:r>
        <w:rPr>
          <w:b/>
        </w:rPr>
        <w:t>E. 3</w:t>
      </w:r>
    </w:p>
    <w:p>
      <w:r>
        <w:t>Der Beschwerdeführer beanstandet vor Bundesgericht die fehlenden vorinstanzlichen Abklärungen darüber, ob das Fahrzeug zur Berufsausübung notwendig gewesen sei und legt seine medizinische und berufliche Situation dar. Auf diese Vorbringen kann nicht eingegangen werden. Da diesbezüglich ein Nichteintretensentscheid zu beurteilen ist, kann das Bundesgericht lediglich feststellen, ob die Vorinstanz in diesem Punkt zu Recht auf die erhobene Beschwerde wegen Verspätung nicht eingetreten ist und gegebenenfalls die Sache zur Behandlung zurückweisen.</w:t>
      </w:r>
    </w:p>
    <w:p>
      <w:r>
        <w:t>Gegen die vorinstanzliche Feststellung eines Fristversäumnisses bringt der Beschwerdeführer vor, dass die Beschwerdefrist erst mit dem Erhalt der Protokolle habe zu laufen beginnen können. Dem kann nicht gefolgt werden. Abgesehen davon, dass die Eingabe vom 1. Februar 2016 selbst nach dieser Auffassung verspätetet erfolgt wäre (die Protokolle wurden dem Beschwerdeführer am 30. Dezember 2015 zugestellt), enthielt die erstinstanzliche Verfügung vom 16. Dezember 2015 eine klare und zutreffende Rechtsmittelbelehrung. Nebenbei ist anzumerken, dass die untere Aufsichtsbehörde die Gründe für ihren abweisenden Beschwerdeentscheid ausführlich dargelegt hat. Der Beschwerdeführer hat sich mit diesem Beschwerdeentscheid innert der zehntägigen gesetzlichen Frist von Art. 18 Abs. 1 SchKG nicht auseinandergesetzt und diesbezüglich in seiner Eingabe an das Kantonsgericht vom 18. Dezember 2015 keine Anträge gestellt. Offenbar missversteht er die (begrenzte) Fristerstreckung vom 11. Januar 2016. Entgegen den nur teilweise verständlichen Ausführungen des Beschwerdeführers ist der vorinstanzliche Beschluss nicht zu beanstanden.</w:t>
      </w:r>
    </w:p>
    <w:p>
      <w:r>
        <w:rPr>
          <w:b/>
        </w:rPr>
        <w:t>E. 4</w:t>
      </w:r>
    </w:p>
    <w:p>
      <w:r>
        <w:t>Soweit der Beschwerdeführer vor Bundesgericht geltend macht, es fehle an einem (vollständigen) Protokoll der Verhandlung vom 20. Februar 2014, kann auf seine pauschale, nicht weiter ausgeführte Rüge mangels Auseinandersetzung mit den vorinstanzlichen Erwägungen nicht eingetreten werden (vgl. dazu vorne E. 1.2).</w:t>
      </w:r>
    </w:p>
    <w:p>
      <w:r>
        <w:rPr>
          <w:b/>
        </w:rPr>
        <w:t>E. 5</w:t>
      </w:r>
    </w:p>
    <w:p>
      <w:r>
        <w:t>Aus den dargelegten Gründen muss die Beschwerde abgewiesen werden, soweit darauf einzutreten ist. Bei diesem Verfahrensausgang hat der Beschwerdeführer für die Gerichtskosten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