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353/2015 vom 5. Mai 2015</w:t>
      </w:r>
    </w:p>
    <w:p>
      <w:r>
        <w:t>Bundesgericht, 2015-05-05, DE</w:t>
      </w:r>
    </w:p>
    <w:p>
      <w:r>
        <w:rPr>
          <w:b/>
        </w:rPr>
        <w:t xml:space="preserve">Quelle: </w:t>
      </w:r>
      <w:r>
        <w:t>https://mcp.opencaselaw.ch/entscheid/bger_5A_353_2015</w:t>
      </w:r>
    </w:p>
    <w:p>
      <w:r>
        <w:t>FR: TF 5A 353/2015 du 5 mai 2015</w:t>
      </w:r>
    </w:p>
    <w:p>
      <w:r>
        <w:t>IT: TF 5A 353/2015 del 5 maggio 2015</w:t>
      </w:r>
    </w:p>
    <w:p>
      <w:pPr>
        <w:pStyle w:val="Heading2"/>
      </w:pPr>
      <w:r>
        <w:t>Regeste</w:t>
      </w:r>
    </w:p>
    <w:p>
      <w:r>
        <w:t>Verwertungsbegehren | Schuldbetreibungs- und Konkursrecht</w:t>
      </w:r>
    </w:p>
    <w:p>
      <w:pPr>
        <w:pStyle w:val="Heading2"/>
      </w:pPr>
      <w:r>
        <w:t>Erwägungen</w:t>
      </w:r>
    </w:p>
    <w:p>
      <w:r>
        <w:rPr>
          <w:b/>
        </w:rPr>
        <w:t>E. 1</w:t>
      </w:r>
    </w:p>
    <w:p>
      <w:r>
        <w:t>A.________ beschwerte sich gegen die Zustellung des Verwertungsbegehrens in der Betreibung Nr. xxx des Betreibungsamtes Basel-Stadt bei der unteren Aufsichtsbehörde über das Betreibungs- und Konkursamt des Kantons Basel-Stadt, das ihre Beschwerde am 13. März 2015 abwies. Die Beschwerdeführerin gelangte dagegen an das Appellationsgericht des Kantons Basel-Stadt, Obere Aufsichtsbehörde über das Betreibungs- und Konkursamt, das auf ihre Beschwerde mit Entscheid vom 15. April 2015 nicht eintrat. Die Beschwerdeführerin gelangt an das Bundesgericht. Sie ersucht um Aufhebung des Entscheids des Appellationsgerichts und sinngemäss um Aufhebung des Verwertungsbegehrens. Zudem beantragt sie die Gewährung der sofortigen aufschiebenden Wirkung.</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Appellationsgericht hat erwogen, die Beschwerdeführerin habe in ihrer Eingabe keinen Antrag gestellt und ein solcher könne auch nicht sinngemäss aus der Begründung entnommen werden. Die Begründung sei unverständlich. Sie befasse sich in keiner Weise mit den Erwägungen des angefochtenen erstinstanzlichen Entscheids. Die Beschwerdeführerin versuche, ihre angeblichen gesundheitlichen Schwierigkeiten darzulegen. Diese stünden indes in keinem verständlichen und nachvollziehbaren Zusammenhang mit dem angefochtenen Entscheid. Fehle es an einem hinreichenden Antrag, sei auf die Beschwerde nicht einzutreten.</w:t>
      </w:r>
    </w:p>
    <w:p>
      <w:r>
        <w:rPr>
          <w:b/>
        </w:rPr>
        <w:t>E. 2.3</w:t>
      </w:r>
    </w:p>
    <w:p>
      <w:r>
        <w:t>Die Beschwerdeführerin setzt sich mit der Erwägung des Appellationsgerichts nicht auseinander und erklärt nicht, inwiefern die Vorinstanz mit ihrem Nichteintretensentscheid Bundesrecht verletzt oder den Sachverhalt bundesrechtswidrig festgestellt hat.</w:t>
      </w:r>
    </w:p>
    <w:p>
      <w:r>
        <w:rPr>
          <w:b/>
        </w:rPr>
        <w:t>E. 2.4</w:t>
      </w:r>
    </w:p>
    <w:p>
      <w:r>
        <w:t>Auf die offensichtlich nicht begründete und somit unzulässige Beschwerde ist im vereinfachten Verfahren ( Art. 108 Abs. 1 lit. b BGG ) durch das präsidierende Mitglied der Abteilung unter Kostenfolge für die Beschwerdeführerin ( Art. 66 Abs. 1 BGG ) nicht einzutreten.</w:t>
      </w:r>
    </w:p>
    <w:p>
      <w:r>
        <w:rPr>
          <w:b/>
        </w:rPr>
        <w:t>E. 3</w:t>
      </w:r>
    </w:p>
    <w:p>
      <w:r>
        <w:t>Mit dem Entscheid in der Sache wird das Gesuch um aufschiebende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