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5A_351/2023 vom 13. Juli 2023</w:t>
      </w:r>
    </w:p>
    <w:p>
      <w:r>
        <w:t>Bundesgericht, 2023-07-13, FR</w:t>
      </w:r>
    </w:p>
    <w:p>
      <w:r>
        <w:rPr>
          <w:b/>
        </w:rPr>
        <w:t xml:space="preserve">Quelle: </w:t>
      </w:r>
      <w:r>
        <w:t>https://mcp.opencaselaw.ch/entscheid/bger_5A_351_2023</w:t>
      </w:r>
    </w:p>
    <w:p>
      <w:r>
        <w:t>FR: TF 5A_351/2023 du 13 juillet 2023</w:t>
      </w:r>
    </w:p>
    <w:p>
      <w:r>
        <w:t>IT: TF 5A_351/2023 del 13 luglio 2023</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2.2).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L'autorité de surveillance a retenu que, la veille du prononcé du séquestre, soit le 25 avril 2019, la poursuivante avait introduit une action en paiement contre la débitrice séquestrée par-devant la</w:t>
      </w:r>
    </w:p>
    <w:p>
      <w:r>
        <w:t>London Court of International Arbitration , enregistrée sous zzz, et que cette action se rapportait à la créance pour laquelle le séquestre avait été autorisé à W.________ le 26 avril 2019, soit une créance réclamée sur la base du contrat de partenariat conclu par les parties le 19 septembre 2014. Elle a précisé que le fait que l'ordonnance de séquestre mentionnait aussi le décret du Tribunal de Massa du 11 décembre 2015 n'y changeait rien, car le séquestre obtenu en Italie avait aussi pour origine les prétentions réclamées en vertu du contrat de partenariat. Du reste, l'ordonnance de séquestre faisait mention de la procédure arbitrale, qui avait été introduite sur la base de la clause arbitrale contenue dans le contrat précité.</w:t>
      </w:r>
    </w:p>
    <w:p>
      <w:r>
        <w:t>Elle a ensuite établi que, alors que la procédure arbitrale était pendante et qu'une procédure d'opposition à séquestre était en cours, la poursuivante avait aussi engagé une poursuite en validation du séquestre, dans les dix jours dès la réception du procès-verbal de séquestre. Une fois la procédure arbitrale terminée, la poursuivante avait déposé, dans les dix jours, devant le tribunal de première instance, une requête tendant à reconnaître et déclarer exécutoire en Suisse la sentence arbitrale et au prononcé de la mainlevée définitive de l'opposition formée par la plaignante au commandement de payer, poursuite vvv.</w:t>
      </w:r>
    </w:p>
    <w:p>
      <w:r>
        <w:t>Sur la base de ces éléments, l'autorité de surveillance a jugé que l'effet de validation de la procédure arbitrale avait perduré, vu l'introduction dans les délais d'une requête de mainlevée et que c'était à raison que l'office avait constaté que le séquestre n'était pas caduc.</w:t>
      </w:r>
    </w:p>
    <w:p>
      <w:r>
        <w:t>L'autorité de surveillance a par ailleurs considéré que le commandement de payer, poursuite vvv, n'était pas périmé, au moment de requérir la continuation de la poursuite, le 8 novembre 2022. En effet, selon elle, lors de l'introduction de la poursuite, l'action en reconnaissance de dette pendante devant le tribunal arbitral était en cours, de sorte que le délai d'un an de l' art. 88 al. 2 LP n'avait couru ni durant la procédure arbitrale, qui s'était terminée le 12 mai 2022, ni durant la procédure de mainlevée (du 23 mai au 31 octobre 2022).</w:t>
      </w:r>
    </w:p>
    <w:p>
      <w:r>
        <w:rPr>
          <w:b/>
        </w:rPr>
        <w:t>E. 4</w:t>
      </w:r>
    </w:p>
    <w:p>
      <w:r>
        <w:t>La recourante se plaint de déni de justice formel ( art. 29 al. 1 Cst. ).</w:t>
      </w:r>
    </w:p>
    <w:p>
      <w:r>
        <w:rPr>
          <w:b/>
        </w:rPr>
        <w:t>E. 4.1</w:t>
      </w:r>
    </w:p>
    <w:p>
      <w:r>
        <w:t>Elle soutient que l'arrêt entrepris ne tient pas compte du fait qu'elle a fait valoir que la sentence arbitrale impose à l'intimée de procéder dans un délai de 30 jours à la levée du séquestre obtenu le 11 décembre 2015 du Tribunal de Massa, de sorte qu'il n'existe "aucun lien organique" entre la créance figurant dans le commandement de payer et la cause invoquée pour cette créance.</w:t>
      </w:r>
    </w:p>
    <w:p>
      <w:r>
        <w:rPr>
          <w:b/>
        </w:rPr>
        <w:t>E. 4.2</w:t>
      </w:r>
    </w:p>
    <w:p>
      <w:r>
        <w:t>Selon la jurisprudence, commet un déni de justice formel proscrit par l' art. 29 al. 1 Cst. l'autorité qui ne traite pas un grief relevant de sa compétence, motivé de façon suffisante et pertinent pour l'issue du litige ( ATF 142 II 154 consid. 4.2; 141 V 557 consid. 3.2.1; 135 I 6 consid. 2.1; arrêt 5A_1062/2019 du 16 avril 2020 consid. 4.1).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 arrêt 5A_69/2022 du 17 mai 2023 consid. 3.1).</w:t>
      </w:r>
    </w:p>
    <w:p>
      <w:r>
        <w:rPr>
          <w:b/>
        </w:rPr>
        <w:t>E. 4.3</w:t>
      </w:r>
    </w:p>
    <w:p>
      <w:r>
        <w:t>En l'espèce, l'autorité de surveillance a précisément examiné si l'action en paiement se rapportait à la créance pour laquelle le séquestre avait été accordé le 26 avril 2019, soit la créance ayant sa source dans le contrat de partenariat. Cette question est le point central de l'arrêt attaqué. Par sa critique, la recourante semble confondre le cas de séquestre et sa validation par une action en paiement ayant pour objet la créance que la mesure conservatoire visait à garantir (cf.</w:t>
      </w:r>
    </w:p>
    <w:p>
      <w:r>
        <w:t>infra consid. 7.2). Le grief de violation de l' art. 29 Cst. est donc manifestement sans consistance, si bien qu'il doit être rejeté, dans la mesure de sa recevabilité.</w:t>
      </w:r>
    </w:p>
    <w:p>
      <w:r>
        <w:rPr>
          <w:b/>
        </w:rPr>
        <w:t>E. 5</w:t>
      </w:r>
    </w:p>
    <w:p>
      <w:r>
        <w:t>La recourante requiert le complètement de l'état de fait, en affirmant qu'elle est dispensée de démontrer l'arbitraire de la décision attaquée sur ce point. Elle allègue ainsi que l'autorité de surveillance aurait omis que la sentence arbitrale imposait à l'intimée de procéder à la levée du séquestre, alors qu'elle a allégué et offert de prouver ce fait selon les règles de procédure.</w:t>
      </w:r>
    </w:p>
    <w:p>
      <w:r>
        <w:t>Comme déjà jugé dans une procédure opposant les mêmes parties (arrêt 5D_6/2022 du 6 mai 2022 consid. 2.2), la recourante perd de vue que le complément qu'elle requiert suppose qu'elle démontre que l'autorité précédente a violé le droit matériel en n'appliquant pas la disposition légale pertinente, raison pour laquelle elle n'a pas établi les faits nécessaires à cette application. Or, en l'occurrence, la recourante ne prétend rien de tel, de sorte que, irrecevable, la partie E du recours intitulée "Complètement de l'état de fait" sera ignorée. Au demeurant, comme relevé dans l'examen du grief relatif à la violation du droit d'être entendu, le fait allégué n'a aucune pertinence sur l'issue du litige.</w:t>
      </w:r>
    </w:p>
    <w:p>
      <w:r>
        <w:rPr>
          <w:b/>
        </w:rPr>
        <w:t>E. 6</w:t>
      </w:r>
    </w:p>
    <w:p>
      <w:r>
        <w:t>La recourante se plaint d'arbitraire ( art. 9 Cst. ) dans l'établissement des faits. Elle soutient qu'il est manifestement inexact de retenir que l'intimée a introduit son action en paiement le 25 avril 2019 puis requis et obtenu le séquestre le 26 avril 2019 "sur la base de cette action", étant donné que le séquestre a été obtenu sur la base de la décision italienne du 11 décembre 2015.</w:t>
      </w:r>
    </w:p>
    <w:p>
      <w:r>
        <w:t>La recourante méconnaît le sens de la motivation de l'arrêt attaqué. L'autorité de surveillance n'a pas retenu que le cas de séquestre était "l'action" introduite devant le tribunal arbitral mais que cette action était propre à valider le séquestre obtenu, étant donné qu'elle avait pour objet la même créance.</w:t>
      </w:r>
    </w:p>
    <w:p>
      <w:r>
        <w:t>Il suit de là que le grief doit être rejeté, dans la mesure de sa recevabilité.</w:t>
      </w:r>
    </w:p>
    <w:p>
      <w:r>
        <w:rPr>
          <w:b/>
        </w:rPr>
        <w:t>E. 7</w:t>
      </w:r>
    </w:p>
    <w:p>
      <w:r>
        <w:t>La recourante se plaint de la violation des art. 279 et 88 al. 2 LP .</w:t>
      </w:r>
    </w:p>
    <w:p>
      <w:r>
        <w:rPr>
          <w:b/>
        </w:rPr>
        <w:t>E. 7.1</w:t>
      </w:r>
    </w:p>
    <w:p>
      <w:r>
        <w:t>En substance, elle répète qu'étant donné que l'ordonnance de séquestre se réfère à la décision italienne du 11 décembre 2015, et non au contrat de partenariat, et que la sentence arbitrale du 12 mai 2022 ordonne de lever le séquestre obtenu en Italie, l'ordonnance précitée n'a plus de cause et le séquestre ne peut plus être validé. Elle soutient également que le commandement de payer est périmé, faute pour l'intimée d'avoir déposé une action en reconnaissance de dette "du décret du 11 décembre 2015" dans la procédure arbitrale, qui impose d'ailleurs de lever le séquestre.</w:t>
      </w:r>
    </w:p>
    <w:p>
      <w:r>
        <w:rPr>
          <w:b/>
        </w:rPr>
        <w:t>E. 7.2</w:t>
      </w:r>
    </w:p>
    <w:p>
      <w:r>
        <w:t>En l'espèce, la critique de la recourante n'est pas pertinente et il peut être entièrement renvoyé à la motivation de l'arrêt attaqué. Elle confond manifestement la procédure d'opposition à séquestre ( art. 278 LP ), qui a le même objet que la procédure de séquestre ( art. 274 LP ), à savoir les conditions d'autorisation de celui-ci, dont la vraisemblance d'un cas de séquestre (art. 271 al. 1 et 272 al. 1 ch. 2 LP; ATF 140 III 466 consid. 4.2.3), et la procédure de validation du séquestre ( art. 279 LP ), qui peut se faire par une action de droit matériel qui vise à établir l'existence de la créance à l'origine du séquestre, soit une action comparable à l'action en reconnaissance de dette de l' art. 79 LP ( ATF 143 III 578 consid. 3.2.1). En s'évertuant à affirmer que la sentence arbitrale a ordonné la levée du séquestre prononcé en Italie, la recourante conteste le cas de séquestre. Cependant, cette critique ne peut pas être soulevée dans la procédure de plainte portant sur la caducité du séquestre en raison de l'écoulement des délais pour valider cette mesure ( art. 280 LP ). Par ailleurs, en affirmant que la procédure arbitrale n'a pas pour objet "le décret du 11 décembre 2015", tout en reconnaissant que le séquestre obtenu en Italie avait pour origine le contrat de partenariat, elle se méprend sur l'objet de l'action au fond qui valide le séquestre, soit la créance que le séquestre a servi à garantir. Or, comme l'a établi en fait l'autorité cantonale, l'action en paiement se rapportait bien à la créance pour laquelle le séquestre a été autorisé à W.________ le 26 avril 2019 sur la base de la décision italienne de mesures provisionnelles, déclarée exécutoire en Suisse, valant titre de mainlevée définitive au sens de l' art. 271 al. 1 ch. 6 LP (cf. arrêt 5A_151/2020 du 13 mai 2020 consid. 5.2.2.2.2: "</w:t>
      </w:r>
    </w:p>
    <w:p>
      <w:r>
        <w:t>il apparaît que la décision du 11 décembre 2015 vise manifestement à garantir la créance dont l'intimée prétend disposer à l'encontre de la recourante, créance qui fait l'objet d'une procédure arbitrale à Londres. ").</w:t>
      </w:r>
    </w:p>
    <w:p>
      <w:r>
        <w:t>Il suit de là que les griefs de violation des art. 279 et 88 LP sont manifestement infondés.</w:t>
      </w:r>
    </w:p>
    <w:p>
      <w:r>
        <w:rPr>
          <w:b/>
        </w:rPr>
        <w:t>E. 8</w:t>
      </w:r>
    </w:p>
    <w:p>
      <w:r>
        <w:t>En définitive, le recours est rejeté dans la mesure de sa recevabilité. Les frais judiciaires, arrêtés à 3'000 fr., sont mis à la charge de la recourante, qui succombe ( art. 66 al. 1 LTF ). Aucuns dépens ne sont dus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