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5A_350/2026 vom 29. April 2026</w:t>
      </w:r>
    </w:p>
    <w:p>
      <w:r>
        <w:t>Bundesgericht, 2026-04-29, DE</w:t>
      </w:r>
    </w:p>
    <w:p>
      <w:r>
        <w:rPr>
          <w:b/>
        </w:rPr>
        <w:t xml:space="preserve">Quelle: </w:t>
      </w:r>
      <w:r>
        <w:t>https://mcp.opencaselaw.ch/entscheid/bger_5A_350_2026</w:t>
      </w:r>
    </w:p>
    <w:p>
      <w:r>
        <w:t>FR: TF 5A_350/2026 du 29 avril 2026</w:t>
      </w:r>
    </w:p>
    <w:p>
      <w:r>
        <w:t>IT: TF 5A_350/2026 del 29 aprile 2026</w:t>
      </w:r>
    </w:p>
    <w:p>
      <w:pPr>
        <w:pStyle w:val="Heading2"/>
      </w:pPr>
      <w:r>
        <w:t>Erwägungen</w:t>
      </w:r>
    </w:p>
    <w:p>
      <w:r>
        <w:rPr>
          <w:b/>
        </w:rPr>
        <w:t>E. 1</w:t>
      </w:r>
    </w:p>
    <w:p>
      <w:r>
        <w:t>Das Obergericht ist auf die Berufung des Beschwerdeführers nicht eingetreten, weil er sich darin nicht mit den erstinstanzlichen Unzuständigkeitserwägungen auseinandergesetzt hatte. Anfechtungsgegenstand im bundesgerichtlichen Verfahren kann deshalb grundsätzlich nur die Frage bilden, ob das Obergericht zu Recht einen Nichteintretensentscheid mangels hinreichender Begründung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Eine dahingehende Begründung lässt sich der Beschwerde nicht entnehmen. Der Beschwerdeführer rügt direkt in der Sache eine Verletzung von Art. 286 Abs. 2 ZGB zufolge erheblicher Veränderung der Verhältnisse sowie eine willkürliche Anrechnung eines hypothetischen Einkommens und die Verletzung seines Existenzminimums. Indes haben die kantonalen Instanzen keine materiellen Entscheide gefällt, sondern sind auf die Abänderungsklage mangels Zuständigkeit bzw. auf die Berufung mangels hinreichender Begründung nicht eingetreten. Darauf bezieht sich der Beschwerdeführer mit keinem Wort.</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