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5A_350/2018 vom 30. Mai 2018</w:t>
      </w:r>
    </w:p>
    <w:p>
      <w:r>
        <w:t>Bundesgericht, 2018-05-30, FR</w:t>
      </w:r>
    </w:p>
    <w:p>
      <w:r>
        <w:rPr>
          <w:b/>
        </w:rPr>
        <w:t xml:space="preserve">Quelle: </w:t>
      </w:r>
      <w:r>
        <w:t>https://mcp.opencaselaw.ch/entscheid/bger_5A_350_2018</w:t>
      </w:r>
    </w:p>
    <w:p>
      <w:r>
        <w:t>FR: TF 5A_350/2018 du 30 mai 2018</w:t>
      </w:r>
    </w:p>
    <w:p>
      <w:r>
        <w:t>IT: TF 5A_350/2018 del 30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25 janvier 2018, communiqué aux parties le 20 mars 2018, la Chambre civile de la Cour de justice du canton de Genève a déclaré recevables l'appel interjeté le 11 mai 2016 par A.A.________ et l'appel joint interjeté le 23 juin 2016 par B.A.________ contre le jugement de divorce rendu le 7 avril 2016 par le Tribunal de première instance de Genève et a complété et réformé les chiffres 2, 3, 4b, 5 et 6 dudit jugement de divorce s'agissant de la liquidation du régime matrimonial et du partage de la prévoyance professionnelle.</w:t>
      </w:r>
    </w:p>
    <w:p>
      <w:r>
        <w:rPr>
          <w:b/>
        </w:rPr>
        <w:t>E. 2</w:t>
      </w:r>
    </w:p>
    <w:p>
      <w:r>
        <w:t>Par acte remis à la Poste suisse le 23 avril 2018, A.A.________ exerce un recours en matière civile au Tribunal fédéral, concluant à l'annulation de l'arrêt entrepris, à l'attribution, conjointement avec ses enfants, du domicile conjugal, à son indemnisation pour les travaux effectués dans la maison (75'000 fr.), ainsi que pour les dépenses effectuées pour l'éducation des enfants (110'000 fr.), et à l'octroi d'une contribution pour son entretien à concurrence d'un quart des revenus de son ex-épouse.</w:t>
      </w:r>
    </w:p>
    <w:p>
      <w:r>
        <w:t>Par lettre séparée du même jour, le recourant sollicite d'être mis au bénéfice de l'assistance judiciaire pour la procédure fédérale.</w:t>
      </w:r>
    </w:p>
    <w:p>
      <w:r>
        <w:t>Dans son écriture, le recourant présente sa propre appréciation de la cause, sans aucunement discuter la motivation de la cour cantonale. Ce faisant, le recourant ne soulève aucun grief - même implicite - à l'encontre de la décision déférée. Il s'ensuit que le présent recours, qui ne correspond pas aux exigences minimales de motivation des art. 42 al. 2 et 106 al. 2 LTF, doit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Faute de chances de succès du recours, la requête d'assistance judiciaire pour la procédure fédérale déposée par le recourant ne saurait être agréée ( art. 64 al. 1 LTF ). Les frais judiciaires, arrêtés à 300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