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5A_34/2020 vom 20. Januar 2020</w:t>
      </w:r>
    </w:p>
    <w:p>
      <w:r>
        <w:t>Bundesgericht, 2020-01-20, DE</w:t>
      </w:r>
    </w:p>
    <w:p>
      <w:r>
        <w:rPr>
          <w:b/>
        </w:rPr>
        <w:t xml:space="preserve">Quelle: </w:t>
      </w:r>
      <w:r>
        <w:t>https://mcp.opencaselaw.ch/entscheid/bger_5A_34_2020</w:t>
      </w:r>
    </w:p>
    <w:p>
      <w:r>
        <w:t>FR: TF 5A_34/2020 du 20 janvier 2020</w:t>
      </w:r>
    </w:p>
    <w:p>
      <w:r>
        <w:t>IT: TF 5A_34/2020 del 20 gennaio 2020</w:t>
      </w:r>
    </w:p>
    <w:p>
      <w:pPr>
        <w:pStyle w:val="Heading2"/>
      </w:pPr>
      <w:r>
        <w:t>Erwägungen</w:t>
      </w:r>
    </w:p>
    <w:p>
      <w:r>
        <w:rPr>
          <w:b/>
        </w:rPr>
        <w:t>E. 1</w:t>
      </w:r>
    </w:p>
    <w:p>
      <w:r>
        <w:t>Angefochten ist die Kostenfestsetzung bzw. -verlegung des erstinstanzlichen KESB-Verfahrens und des kantonalen Beschwerdeverfahrens.</w:t>
      </w:r>
    </w:p>
    <w:p>
      <w:r>
        <w:t>Aufgrund des zuteilenden Vorbehaltes in Art. 450f ZGB sind die Kantone zuständig zur Regelung des Verfahrens vor der KESB und vor der kantonalen Rechtsmittelbehörde. Dies ist im vorliegend angefochtenen Entscheid ausführlich dargelegt und das Kantonsgericht hat bei seinen detaillierten Erwägungen zur Höhe und Verteilung der Kosten auf § 158 EG ZGB/BL, auf verschiedene Normen der GebV/BL sowie auf § 20 f. VPO/BL abgestellt.</w:t>
      </w:r>
    </w:p>
    <w:p>
      <w:r>
        <w:t>Die Verletzung kantonalen Rechts überprüft das Bundesgericht nur im Zusammenhang mit einer Verletzung verfassungsmässiger Rechte, wobei die Rüge im Vordergrund steht, dass das kantonale Recht willkürlich angewandt worden sei ( BGE 139 III 225 E. 2.3 S. 231; 139 III 252 E. 1.4 S. 254; 142 II 369 E. 2.1 S. 372).</w:t>
      </w:r>
    </w:p>
    <w:p>
      <w:r>
        <w:rPr>
          <w:b/>
        </w:rPr>
        <w:t>E. 2</w:t>
      </w:r>
    </w:p>
    <w:p>
      <w:r>
        <w:t>Der Beschwerdeführer erhebt keinerlei Verfassungsrügen und seine Ausführungen - das ganze Verfahren sei von der KESB veranlasst und für ihn wie auch für die Tochter traumatisierend gewesen - würden nicht einmal den allgemeinen Begründungsanforderungen von Art. 42 Abs. 2 BGG genügen.</w:t>
      </w:r>
    </w:p>
    <w:p>
      <w:r>
        <w:t>Die Beschwerde erweist sich mithin als offensichtlich nicht hinreichend begründet, weshalb auf sie im vereinfachten Verfahren nach Art. 108 Abs. 1 lit. b BGG nicht einzutreten ist.</w:t>
      </w:r>
    </w:p>
    <w:p>
      <w:r>
        <w:rPr>
          <w:b/>
        </w:rPr>
        <w:t>E. 3</w:t>
      </w:r>
    </w:p>
    <w:p>
      <w:r>
        <w:t>Die Gerichtskosten sind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