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5A_348/2026 vom 29. April 2026</w:t>
      </w:r>
    </w:p>
    <w:p>
      <w:r>
        <w:t>Bundesgericht, 2026-04-29, DE</w:t>
      </w:r>
    </w:p>
    <w:p>
      <w:r>
        <w:rPr>
          <w:b/>
        </w:rPr>
        <w:t xml:space="preserve">Quelle: </w:t>
      </w:r>
      <w:r>
        <w:t>https://mcp.opencaselaw.ch/entscheid/bger_5A_348_2026</w:t>
      </w:r>
    </w:p>
    <w:p>
      <w:r>
        <w:t>FR: TF 5A_348/2026 du 29 avril 2026</w:t>
      </w:r>
    </w:p>
    <w:p>
      <w:r>
        <w:t>IT: TF 5A_348/2026 del 29 aprile 2026</w:t>
      </w:r>
    </w:p>
    <w:p>
      <w:pPr>
        <w:pStyle w:val="Heading2"/>
      </w:pPr>
      <w:r>
        <w:t>Erwägungen</w:t>
      </w:r>
    </w:p>
    <w:p>
      <w:r>
        <w:rPr>
          <w:b/>
        </w:rPr>
        <w:t>E. 1</w:t>
      </w:r>
    </w:p>
    <w:p>
      <w:r>
        <w:t>Das Obergericht ist auf das Rechtsmittel der Beschwerdeführerin nicht eingetreten mit der Begründung, dieses sei verspätet eingereicht worden; die angefochtene Verfügung sei ihr bzw. ihrem damaligen Rechtsvertreter am 6. Februar 2026 zugestellt worden und mit der erst am 8. März 2026 der Post übergebenen Beschwerde sei die gemäss Art. 321 Abs. 2 ZPO zehn Tage betragende Beschwerdefrist nicht eingehalten.</w:t>
      </w:r>
    </w:p>
    <w:p>
      <w:r>
        <w:rPr>
          <w:b/>
        </w:rPr>
        <w:t>E. 2</w:t>
      </w:r>
    </w:p>
    <w:p>
      <w:r>
        <w:t>Mangels eines Entscheides in der Sache selbst kann Anfechtungsgegenstand im bundesgerichtlichen Verfahren grundsätzlich nur die Frage bilden, ob das Obergericht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Eine dahingehende Begründung lässt sich der Beschwerde nicht entnehmen, denn mit der abstrakten Behauptung der Beschwerdeführerin, sie habe ihre Beschwerde rechtzeitig innerhalb von 30 Tagen eingereicht, ist keine falsche Anwendung von Art. 321 Abs. 2 ZPO dargetan, der in Bezug auf prozessleitende Verfügungen explizit eine zehntägige Beschwerdefrist vorsieht. Dass es sich beim Entscheid über die unentgeltliche Rechtspflege um eine anfechtbare prozessleitende Verfügung im Sinn von Art. 121 i.V.m. Art. 319 lit. b Ziff. 1 ZPO handelt (letztmals Urteil 4A_3/2026 vom 23. März 2026 E. 3.3), stellt die Beschwerdeführerin zu Recht nicht in Frage. Mit dem Ablauf der Beschwerdefrist ist die betreffende Anfechtungsmöglichkeit verwirkt, so dass die Abweisung des Gesuches um unentgeltliche Rechtspflege auch nicht mehr im Rahmen des Endentscheides angefochten werden könnte ( BGE 151 III 344 E. 2.2.3). Aus diesem Grund und weil eine gesetzliche Frist nicht erstreckbar ist ( Art. 144 Abs. 1 ZPO ), gehen sodann die Ausführungen der Beschwerdeführerin betreffend Tragweite des Verfahrens für ihr Kind und der Vorwurf an das Obergericht, es berechne die Frist schematisch ohne Berücksichtigung ihrer Situation und damit willkürlich, an der Sache vorbei.</w:t>
      </w:r>
    </w:p>
    <w:p>
      <w:r>
        <w:t>Von vornherein nicht zulässig ist der an das Bezirksgericht gerichtete Vorwurf der Beschwerdeführerin, ihre strukturelle und ökonomische Unterlegenheit gegenüber dem Vater des Kindes nicht auszugleichen, sondern zu verstärken, denn Anfechtungsobjekt im bundesgerichtlichen Verfahren kann ausschliesslich der obergerichtliche Beschluss bilden (vgl. Art. 75 Abs. 1 BGG ).</w:t>
      </w:r>
    </w:p>
    <w:p>
      <w:r>
        <w:t>Ausserhalb des möglichen Anfechtungsgegenstandes stehen sodann die Begehren und Ausführungen im Zusammenhang mit der eigenen anwaltlichen Vertretung, der angeblich fehlenden gesetzlichen Grundlage für die Kindesvertretung sowie der angeblichen Verletzung des Rechtes auf Familienleben und anderer Grundrechte im Kontext mit der Sache selbst.</w:t>
      </w:r>
    </w:p>
    <w:p>
      <w:r>
        <w:rPr>
          <w:b/>
        </w:rPr>
        <w:t>E. 4</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a und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