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5A_348/2025 vom 12. Mai 2025</w:t>
      </w:r>
    </w:p>
    <w:p>
      <w:r>
        <w:t>Bundesgericht, 2025-05-12, DE</w:t>
      </w:r>
    </w:p>
    <w:p>
      <w:r>
        <w:rPr>
          <w:b/>
        </w:rPr>
        <w:t xml:space="preserve">Quelle: </w:t>
      </w:r>
      <w:r>
        <w:t>https://mcp.opencaselaw.ch/entscheid/bger_5A_348_2025</w:t>
      </w:r>
    </w:p>
    <w:p>
      <w:r>
        <w:t>FR: TF 5A_348/2025 du 12 mai 2025</w:t>
      </w:r>
    </w:p>
    <w:p>
      <w:r>
        <w:t>IT: TF 5A_348/2025 del 12 maggio 2025</w:t>
      </w:r>
    </w:p>
    <w:p>
      <w:pPr>
        <w:pStyle w:val="Heading2"/>
      </w:pPr>
      <w:r>
        <w:t>Erwägungen</w:t>
      </w:r>
    </w:p>
    <w:p>
      <w:r>
        <w:rPr>
          <w:b/>
        </w:rPr>
        <w:t>E. 1</w:t>
      </w:r>
    </w:p>
    <w:p>
      <w:r>
        <w:t>Die Beschwerdeführerin reicht ihre beiden Eingaben von 24. März 2025 in italienischer Sprache ein, was zulässig ist ( Art. 42 Abs. 1 BGG ); das vorliegende Urteil ergeht indes in der Sprache des angefochtenen Entscheides und somit auf Deutsch ( Art. 54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erwogen, soweit die Beschwerdeführerin dem Vater vorwerfe, unfähig zu sein, C.________ zu erziehen und zu unterstützen, versuche sie, den obergerichtlichen Eheschutzentscheid infrage zu stellen, wofür im vorliegenden Beschwerdeverfahren kein Raum sei, weil die Kompetenz zur Abänderung der Eheschutzmassnahmen beim zuständigen Gericht liegen würde. Was die Kritik an der Beiständin anbelange, scheine sich die Beschwerdeführerin daran zu stören, dass diese die Modalitäten der Besuchskontakte vorgebe; sie wolle selbst entscheiden, wo und mit wem sie ihre Tochter treffen dürfe. Bei der Übertragung der Überwachung einer gerichtlich festgelegten Besuchsordnung sei es jedoch die Aufgabe der Beiständin, die Modalitäten für angeordnete Besuche festzulegen und die praktische Ausgestaltung im Einzelnen zu konkretisieren, und sie sei dabei nicht verpflichtet, die Besuchsrechtsausübung nach von der Beschwerdeführerin diktierten Modalitäten umzusetzen. Die Zusammenarbeit gestalte sich zwar schwierig, weil abgesehen vom Erstgespräch die Beschwerdeführerin für die Beiständin nicht erreichbar bzw. greifbar sei. Indes sei kein Fehlverhalten der Beiständin ersichtlich und die Probleme seien primär darauf zurückzuführen, dass die Beschwerdeführerin auf eigenen Besuchsrechtsmodalitäten beharre, woran ein Wechsel der Beistandsperson nichts ändern würde.</w:t>
      </w:r>
    </w:p>
    <w:p>
      <w:r>
        <w:rPr>
          <w:b/>
        </w:rPr>
        <w:t>E. 4</w:t>
      </w:r>
    </w:p>
    <w:p>
      <w:r>
        <w:t>Die Beschwerdeführerin behauptet zwar eine offensichtlich unrichtige Sachverhaltsfeststellung, sie beschränkt sich aber im Folgenden auf eine appellatorische Schilderung der Dinge aus ihrer Sicht. Darauf kann nicht eingetreten werden, umso weniger als die Ausführungen zum grossen Teil in Vorwürfen gegenüber dem Vater bestehen, welcher in ihren Augen unfähig ist, die Tochter zu erziehen, und diese gegen sie aufhetzen soll. Die steht als Thematik ausserhalb des möglichen Anfechtungsgegenstandes. Was schliesslich die rechtlichen Voraussetzungen für einen Mandatsträgerwechsel anbelangt, erfolgt keine Auseinandersetzung mit den Erwägungen des angebotenen Entscheides.</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