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5A_348/2024 vom 14. Juni 2024</w:t>
      </w:r>
    </w:p>
    <w:p>
      <w:r>
        <w:t>Bundesgericht, 2024-06-14, DE</w:t>
      </w:r>
    </w:p>
    <w:p>
      <w:r>
        <w:rPr>
          <w:b/>
        </w:rPr>
        <w:t xml:space="preserve">Quelle: </w:t>
      </w:r>
      <w:r>
        <w:t>https://mcp.opencaselaw.ch/entscheid/bger_5A_348_2024</w:t>
      </w:r>
    </w:p>
    <w:p>
      <w:r>
        <w:t>FR: TF 5A_348/2024 du 14 juin 2024</w:t>
      </w:r>
    </w:p>
    <w:p>
      <w:r>
        <w:t>IT: TF 5A_348/2024 del 14 giugno 2024</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Im Übrigen hat die Beschwerde Rechtsbegehren zu enthalten ( Art. 42 Abs. 1 BGG ). Soweit es um Geldforderungen geht, sind bezifferte Rechtsbegehren zu stellen ( BGE 134 III 235 E. 2 S. 237; 143 III 111 E. 1.2 S. 112). Dies gilt insbesondere auch im Zusammenhang mit Unterhaltsbegehren bzw. mit Kindesunterhalt ( BGE 137 III 617 E. 4.3).</w:t>
      </w:r>
    </w:p>
    <w:p>
      <w:r>
        <w:rPr>
          <w:b/>
        </w:rPr>
        <w:t>E. 2</w:t>
      </w:r>
    </w:p>
    <w:p>
      <w:r>
        <w:t>Der Beschwerdeführer stellt keine Rechtsbegehren, sondern macht einen "Vorschlag", mit welchem er eine von der Beschwerdegegnerin bezahlte Mediation anregt zum Thema Obhut, Alimente, Name und Pass der Kinder, wobei das Rahmenwerk so aussehen könnte, dass er eine Wohnung in Laufdistanz zur Schule miete und 50 % im Home-Office arbeite und die Beschwerdegegnerin die alternierende Betreuung durch ihn gewähre, so dass keine Alimente notwendig seien, und dass die Beschwerdegegnerin den Eintrag seines Nachnamens und einen holländischen Pass gewähre. Damit liegen offenkundig keine hinreichenden Rechtsbegehren im Sinn von Art. 42 Abs. 1 BGG vor.</w:t>
      </w:r>
    </w:p>
    <w:p>
      <w:r>
        <w:rPr>
          <w:b/>
        </w:rPr>
        <w:t>E. 3</w:t>
      </w:r>
    </w:p>
    <w:p>
      <w:r>
        <w:t>Im Übrigen setzt sich der Beschwerdeführer auch nicht sachgerichtet mit den Erwägungen des angefochtenen Entscheides auseinander. Er kritisiert bzw. polemisiert in allgemeiner Weise dahingehend, dass er seit Jahren um die Obhut und für faire Alimente kämpfe, dass das angefochtene Urteil irreführend und voller Hypothesen sei, dass man auf allen 56 Seiten des Urteils spüre, wie dieses aus der Perspektive der Frau geschrieben sei, welche die Kinder vor dem bösen Mann schützen müsse, dass seine Perspektive als Vater, der die Kinder vermisse und um sein finanzielles Überleben kämpfe, zu kurz komme u.ä.m.; ferner wird im Zusammenhang mit der Unterhaltsberechnung, mit welcher der Beschwerdeführer nicht einverstanden zu sein scheint, eine Vielzahl von Fragen gestellt.</w:t>
      </w:r>
    </w:p>
    <w:p>
      <w:r>
        <w:rPr>
          <w:b/>
        </w:rPr>
        <w:t>E. 4</w:t>
      </w:r>
    </w:p>
    <w:p>
      <w:r>
        <w:t>Nach dem Gesagten erweist sich die Beschwerde - abgesehen davon, dass sie keine eigentlichen Rechtsbegehren enthält -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