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348/2023 vom 23. Mai 2023</w:t>
      </w:r>
    </w:p>
    <w:p>
      <w:r>
        <w:t>Bundesgericht, 2023-05-23, DE</w:t>
      </w:r>
    </w:p>
    <w:p>
      <w:r>
        <w:rPr>
          <w:b/>
        </w:rPr>
        <w:t xml:space="preserve">Quelle: </w:t>
      </w:r>
      <w:r>
        <w:t>https://mcp.opencaselaw.ch/entscheid/bger_5A_348_2023</w:t>
      </w:r>
    </w:p>
    <w:p>
      <w:r>
        <w:t>FR: TF 5A 348/2023 du 23 mai 2023</w:t>
      </w:r>
    </w:p>
    <w:p>
      <w:r>
        <w:t>IT: TF 5A 348/2023 del 23 maggio 2023</w:t>
      </w:r>
    </w:p>
    <w:p>
      <w:pPr>
        <w:pStyle w:val="Heading2"/>
      </w:pPr>
      <w:r>
        <w:t>Regeste</w:t>
      </w:r>
    </w:p>
    <w:p>
      <w:r>
        <w:t>Einkommenspfändung | Schuldbetreibungs- und Konkursrecht</w:t>
      </w:r>
    </w:p>
    <w:p>
      <w:pPr>
        <w:pStyle w:val="Heading2"/>
      </w:pPr>
      <w:r>
        <w:t>Erwägungen</w:t>
      </w:r>
    </w:p>
    <w:p>
      <w:r>
        <w:rPr>
          <w:b/>
        </w:rPr>
        <w:t>E. 1</w:t>
      </w:r>
    </w:p>
    <w:p>
      <w:r>
        <w:t>Der Beschwerdeführer wurde in der Pfändungsgruppe Nr. xxx des Betreibungsamtes Bern-Mittelland, Dienststelle Mittelland, betrieben. Am 25. Januar 2022 verfügte das Betreibungsamt eine Einkommenspfändung, die es dem Beschwerdeführer und der Arbeitslosenkasse B.________ anzeigte. Am 9. Dezember 2022 lud das Betreibungsamt den Beschwerdeführer zu einer Lohnpfändungsrevision für den 15. Dezember 2022 vor und es zeigte der Arbeitslosenkasse B.________ und dem Beschwerdeführer die neue Taggeldpfändung an. Am 31. Januar 2023 stellte das Betreibungsamt in der erwähnten Pfändungsgruppe Verlustscheine aus. Am 4. Februar 2023 erhob der Beschwerdeführer Beschwerde beim Obergericht des Kantons Bern. Mit Entscheid vom 27. April 2023 trat das Obergericht auf die Beschwerde nicht ein. Dagegen hat der Beschwerdeführer mit einer auf den 10. April 2023 datierten, aber am 14. Mai 2023 der Post übergebenen Eingabe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Beschwerde enthält keinerlei Begründung. Vielmehr behält der Beschwerdeführer die weitere Begründung ausdrücklich einem gesonderten Schriftsatz vor. Der Beschwerdeführer hat den angefochtenen Entscheid gemäss Track &amp; Trace-Auszug der Schweizerischen Post am 4. Mai 2023 in Empfang genommen. Die zehntägige Beschwerdefrist ( Art. 100 Abs. 2 lit. a BGG ) begann demnach am 5. Mai 2023 zu laufen und endete nach der Verlängerung über das Wochenende ( Art. 45 Abs. 1 BGG ) am Montag, 15. Mai 2023. Einen weiteren Schriftsatz hat er innerhalb der Beschwerdefrist nicht eingereicht. Ein solcher braucht auch nicht abgewartet zu werden, nachdem die Beschwerdefrist abgelaufen ist. Die Beschwerde enthält offensichtlich keine hinreichende Begründung. Das präsidierende Mitglied der Abteilung tritt darauf im vereinfachten Verfahren nicht ein ( Art. 108 Abs. 1 lit. b BGG ).</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