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347/2007 vom 19. Oktober 2007</w:t>
      </w:r>
    </w:p>
    <w:p>
      <w:r>
        <w:t>Bundesgericht, 2007-10-19, FR</w:t>
      </w:r>
    </w:p>
    <w:p>
      <w:r>
        <w:rPr>
          <w:b/>
        </w:rPr>
        <w:t xml:space="preserve">Quelle: </w:t>
      </w:r>
      <w:r>
        <w:t>https://mcp.opencaselaw.ch/entscheid/bger_5A_347_2007</w:t>
      </w:r>
    </w:p>
    <w:p>
      <w:r>
        <w:t>FR: TF 5A 347/2007 du 19 octobre 2007</w:t>
      </w:r>
    </w:p>
    <w:p>
      <w:r>
        <w:t>IT: TF 5A 347/2007 del 19 ottobre 2007</w:t>
      </w:r>
    </w:p>
    <w:p>
      <w:pPr>
        <w:pStyle w:val="Heading2"/>
      </w:pPr>
      <w:r>
        <w:t>Regeste</w:t>
      </w:r>
    </w:p>
    <w:p>
      <w:r>
        <w:t>demande de cession des droits de la masse | Droit des poursuites et faillites</w:t>
      </w:r>
    </w:p>
    <w:p>
      <w:pPr>
        <w:pStyle w:val="Heading2"/>
      </w:pPr>
      <w:r>
        <w:t>Erwägungen</w:t>
      </w:r>
    </w:p>
    <w:p>
      <w:r>
        <w:rPr>
          <w:b/>
        </w:rPr>
        <w:t>E. 1</w:t>
      </w:r>
    </w:p>
    <w:p>
      <w:r>
        <w:t>Le Tribunal fédéral examine d'office et librement la recevabilité des recours qui lui sont soumis ( ATF 132 I 140 consid. 1.1; 132 III 291 consid. 1).</w:t>
      </w:r>
    </w:p>
    <w:p>
      <w:r>
        <w:rPr>
          <w:b/>
        </w:rPr>
        <w:t>E. 1.1</w:t>
      </w:r>
    </w:p>
    <w:p>
      <w:r>
        <w:t>Les décisions en matière de poursuite pour dettes et de faillite sont sujettes au recours en matière civile, qui remplace le recours LP ( art. 72 al. 2 let. a LTF en relation avec l' art. 19 LP ). Le recours est recevable contre les décisions prises par les autorités cantonales de dernière instance ( art. 75 al. 1 LTF ). Les décisions sur plainte prises par les autorités cantonales de surveillance en vertu de l' art. 17 LP sont des décisions finales au sens de l' art. 90 LTF , dès lors qu'elles ne peuvent plus être remises en question dans la procédure d'exécution forcée en cours ( ATF 133 III 350 consid. 1.2).</w:t>
      </w:r>
    </w:p>
    <w:p>
      <w:r>
        <w:rPr>
          <w:b/>
        </w:rPr>
        <w:t>E. 1.2</w:t>
      </w:r>
    </w:p>
    <w:p>
      <w:r>
        <w:t>La recourante a été privée de la possibilité de prendre part à la procédure devant l'autorité de surveillance (art. 76 al. 1 let. a in fine LTF), qui ne l'a pas informée de la procédure de plainte; elle a de plus un intérêt juridique à l'annulation de la décision attaquée (art. 76 al. 1 let. b), dans la mesure où, comme on le verra (ci-dessous, consid. 2.1), si le droit des créanciers à obtenir la cession des droits de la masse était périmé, sa créance serait reconnue définitivement dans l'état de collocation. Son recours, déposé en temps utile ( art. 100 al. 2 let. a LTF ), est donc recevable, indépendamment de la valeur litigieuse ( art. 74 al. 2 let . c LTF).</w:t>
      </w:r>
    </w:p>
    <w:p>
      <w:r>
        <w:rPr>
          <w:b/>
        </w:rPr>
        <w:t>E. 2.1</w:t>
      </w:r>
    </w:p>
    <w:p>
      <w:r>
        <w:t>Les créances qui font l'objet d'un procès au moment de l'ouverture de la faillite sont simplement mentionnées pour mémoire dans l'état de collocation ( art. 63 al. 1 OAOF ). Si le procès, suspendu en vertu de l' art. 207 LP , n'est continué ni par la masse, ni par les créanciers individuellement en vertu d'une cession des droits de la masse selon l' art. 260 LP , la créance est considérée comme reconnue et les créanciers n'ont plus le droit d'attaquer son admission à l'état de collocation ( art. 63 al. 2 OAOF ).</w:t>
      </w:r>
    </w:p>
    <w:p>
      <w:r>
        <w:rPr>
          <w:b/>
        </w:rPr>
        <w:t>E. 2.2</w:t>
      </w:r>
    </w:p>
    <w:p>
      <w:r>
        <w:t>Les procédures d'autorisation prévues aux art. 48 ss OAOF - et non uniquement celle de l' art. 48 OAOF comme le prévoit le texte de l' art. 63 al. 4 OAOF - s'appliquent par analogie aux prétentions litigieuses lors de l'ouverture de la faillite (arrêt non publié 7B.94/2003 du 24 juin 2003, consid. 4.2; Schlaepfer, Abtretung streitiger Rechtsansprüche im Konkurs, thèse Zurich 1990, p. 82/83; Vouilloz, La liquidation sommaire et la faillite, PJA 2001, p. 974). Dans la liquidation ordinaire, les créanciers qui entendent obtenir la cession doivent, sous peine de péremption, la demander au plus tard dans les dix jours suivant la seconde assemblée des créanciers ( art. 48 al. 1 OAOF ), sauf circonstances spéciales justifiant le dépôt des demandes avant ladite assemblée ( art. 48 al. 2 OAOF ). En cas de liquidation sommaire, le même délai est imparti aux créanciers dans les cas importants, cette communication leur étant faite en même temps que celle du dépôt de l'état de collocation ( art. 49 OAOF ; Gilliéron, Commentaire de la loi sur la poursuite pour dettes et la faillite, vol. III, n. 29 ad art. 260 LP ).</w:t>
      </w:r>
    </w:p>
    <w:p>
      <w:r>
        <w:rPr>
          <w:b/>
        </w:rPr>
        <w:t>E. 2.3</w:t>
      </w:r>
    </w:p>
    <w:p>
      <w:r>
        <w:t>Dans une jurisprudence constante, le Tribunal fédéral a considéré qu'une cession n'était valable que si elle faisait suite à une décision de la masse, c'est-à-dire de la majorité des créanciers, de renoncer à agir elle-même; il en va de même pour une offre de cession ( ATF 118 III 57 consid. 3 p. 59; 113 III 137 consid. 3b). Comme il n'y a, dans la règle, pas d'assemblée des créanciers en cours de liquidation sommaire ( art. 231 al. 3 ch. 1 LP ), la décision de renonciation est, en principe, provoquée par voie de circulaire ou de publication aux créanciers. Il faut en tous les cas, et sous peine de nullité, accorder à tous les créanciers l'occasion de se déterminer quant à une éventuelle renonciation avant d'offrir la cession des droits litigieux ( ATF 118 III 57 consid. 3 et 4 p. 59; 102 III 78 consid. 3b p. 82; 79 III 6 consid. 2 p. 12; Berti, Kommentar zum Bundesgesetz über Schuldbetreibung und Konkurs, n. 22 et 25 ad art. 260 LP ); la question doit leur être posée de façon explicite (Jeanneret/Carron, Commentaire romand LP, n. 7, 13 et 14 ad art. 260 LP ). Ces exigences prévalent également s'agissant de la cession des droits relatifs aux créances litigieuses lors de l'ouverture de la faillite au sens de l' art. 63 al. 2 OAOF ; comme l' art. 260 LP auquel elle renvoie, cette disposition prévoit en effet, comme condition de la cession, que le procès ne soit pas continué par la masse. L'administration doit donc, au plus tard lors du dépôt de l'état de collocation, inviter les intervenants à se déterminer sur la continuation du procès par la masse (Gilliéron, op. cit., n. 29 ad art. 260 LP ).</w:t>
      </w:r>
    </w:p>
    <w:p>
      <w:r>
        <w:rPr>
          <w:b/>
        </w:rPr>
        <w:t>E. 2.4</w:t>
      </w:r>
    </w:p>
    <w:p>
      <w:r>
        <w:t>Interpellé au sujet de l'existence d'une décision de la masse de renoncer à continuer le procès dirigé contre la faillie par la recourante, l'Office prétend qu'une telle décision résulte implicitement de l'offre de cession figurant dans l'état de collocation. Une telle façon de faire ne satisfait cependant pas aux exigences exposées ci-dessus. En effet, les créanciers n'ont jamais été interpellés, ni par circulaire, ni par publication, sur le principe de la renonciation de la masse à continuer à défendre à l'action révocatoire dirigée contre la faillie. Faute de décision de renonciation prise expressément ou tacitement par l'ensemble des créanciers, l'offre de cession contenue dans les publications des 31 janvier et 21 février 2007 est nulle et sa nullité peut être constatée d'office et en tout temps, non seulement par les autorités de surveillance ( art. 22 al. 1 LP ; ATF 118 III 57 consid. 4 p. 59/60; 115 III 26 consid. 1), mais aussi par le Tribunal fédéral lorsqu'il est saisi d'un recours en application de l' art. 72 al. 2 let. a LTF (FF 2001, p. 4154). Il en découle que le délai pour requérir la cession des droits de la masse n'a pas commencé à courir, ce qui rend inutile l'examen de la validité de l'admission, par la Commission de surveillance, des demandes de cession des créanciers intimés.</w:t>
      </w:r>
    </w:p>
    <w:p>
      <w:r>
        <w:rPr>
          <w:b/>
        </w:rPr>
        <w:t>E. 3</w:t>
      </w:r>
    </w:p>
    <w:p>
      <w:r>
        <w:t>Le recours doit donc être admis et l'arrêt attaqué est annulé. Les intimés, qui succombent, supporteront les frais de justice solidairement entre eux ( art. 66 al. 1 LTF ); la recourante qui obtient gain de cause a droit à des dépens ( art. 68 al. 1 LTF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