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5A_346/2020 vom 14. Mai 2020</w:t>
      </w:r>
    </w:p>
    <w:p>
      <w:r>
        <w:t>Bundesgericht, 2020-05-14, DE</w:t>
      </w:r>
    </w:p>
    <w:p>
      <w:r>
        <w:rPr>
          <w:b/>
        </w:rPr>
        <w:t xml:space="preserve">Quelle: </w:t>
      </w:r>
      <w:r>
        <w:t>https://mcp.opencaselaw.ch/entscheid/bger_5A_346_2020</w:t>
      </w:r>
    </w:p>
    <w:p>
      <w:r>
        <w:t>FR: TF 5A_346/2020 du 14 mai 2020</w:t>
      </w:r>
    </w:p>
    <w:p>
      <w:r>
        <w:t>IT: TF 5A_346/2020 del 14 maggio 2020</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Diesbezüglich ist eine Rechtsverletzung darzutun ( Art. 42 Abs. 2 BGG ).</w:t>
      </w:r>
    </w:p>
    <w:p>
      <w:r>
        <w:rPr>
          <w:b/>
        </w:rPr>
        <w:t>E. 2</w:t>
      </w:r>
    </w:p>
    <w:p>
      <w:r>
        <w:t>Der Beschwerdeführer äussert sich nicht zur Frage des Fristenlaufes bzw. des Eintretens auf das kantonale Rechtsmittel, sondern direkt zur Unterbringung selbst, allerdings nicht zu derjenigen durch die KESB, sondern zur vorangegangen ärztlichen Unterbringung sowie zum betreffenden seinerzeitigen Beschwerdeverfahren.</w:t>
      </w:r>
    </w:p>
    <w:p>
      <w:r>
        <w:rPr>
          <w:b/>
        </w:rPr>
        <w:t>E. 3</w:t>
      </w:r>
    </w:p>
    <w:p>
      <w:r>
        <w:t>Zur allgemeinen Kritik an verschiedenen Behörden, die ihn angeblich angreifen und verletzen wollen (KESB, Obergericht, Staatsanwaltschaft, Kapo Bern), ist zu bemerken, dass das Bundesgericht nicht deren Aufsichtsbehörde ist, was im Übrigen bereits im Urteil 5A_297/2020 festgehalten wurde.</w:t>
      </w:r>
    </w:p>
    <w:p>
      <w:r>
        <w:rPr>
          <w:b/>
        </w:rPr>
        <w:t>E. 4</w:t>
      </w:r>
    </w:p>
    <w:p>
      <w:r>
        <w:t>Auf die Beschwerde ist im vereinfachten Verfahren nach Art. 108 Abs. 1 lit. a und b BGG nicht einzutreten.</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