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5A_346/2019 vom 1. Mai 2019</w:t>
      </w:r>
    </w:p>
    <w:p>
      <w:r>
        <w:t>Bundesgericht, 2019-05-01, FR</w:t>
      </w:r>
    </w:p>
    <w:p>
      <w:r>
        <w:rPr>
          <w:b/>
        </w:rPr>
        <w:t xml:space="preserve">Quelle: </w:t>
      </w:r>
      <w:r>
        <w:t>https://mcp.opencaselaw.ch/entscheid/bger_5A_346_2019</w:t>
      </w:r>
    </w:p>
    <w:p>
      <w:r>
        <w:t>FR: TF 5A_346/2019 du 1 mai 2019</w:t>
      </w:r>
    </w:p>
    <w:p>
      <w:r>
        <w:t>IT: TF 5A_346/2019 del 1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Dans le cadre de la procédure d'opposition au séquestre formée par A.________ (</w:t>
      </w:r>
    </w:p>
    <w:p>
      <w:r>
        <w:t>débiteur ), le Tribunal de première instance de Genève a, par ordonnance du 16 août 2018, rejeté la requête d'effet suspensif du prénommé et réservé la suite de la procédure.</w:t>
      </w:r>
    </w:p>
    <w:p>
      <w:r>
        <w:t>Par jugement du 2 octobre suivant, le Tribunal de première instance a déclaré l'opposition irrecevable (ch. 1).</w:t>
      </w:r>
    </w:p>
    <w:p>
      <w:r>
        <w:rPr>
          <w:b/>
        </w:rPr>
        <w:t>E. 1.2</w:t>
      </w:r>
    </w:p>
    <w:p>
      <w:r>
        <w:t>Le débiteur a recouru contre chacune de ces décisions. Le 17 avril 2019, la Chambre civile de la Cour de justice du canton de Genève a imparti à l'intéressé un ultime délai au 29 avril 2019 pour effectuer des avances de frais de 200 fr. pour le recours contre l'ordonnance rendue le 16 août 2018 (</w:t>
      </w:r>
    </w:p>
    <w:p>
      <w:r>
        <w:t>DCJC/498/2019 ) et de 600 fr. pour le recours contre le jugement rendu le 2 octobre 2018 (</w:t>
      </w:r>
    </w:p>
    <w:p>
      <w:r>
        <w:t>DCJC/497/2019 ).</w:t>
      </w:r>
    </w:p>
    <w:p>
      <w:r>
        <w:rPr>
          <w:b/>
        </w:rPr>
        <w:t>E. 2</w:t>
      </w:r>
    </w:p>
    <w:p>
      <w:r>
        <w:t>avances de frais " réclamées par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est d'emblée irrecevable en tant qu'il est dirigé à l'encontre de la lettre du Secrétariat général du Tribunal fédéral du 12 avril 2019, qui se réfère à l'arrêt du 31 janvier 2019 relatif au refus de l'assistance judiciaire dans une procédure administrative (</w:t>
      </w:r>
    </w:p>
    <w:p>
      <w:r>
        <w:t>2C_67/2019 ). Ce courrier ne constitue pas une décision attaquable ( art. 75 LTF ).</w:t>
      </w:r>
    </w:p>
    <w:p>
      <w:r>
        <w:rPr>
          <w:b/>
        </w:rPr>
        <w:t>E. 4</w:t>
      </w:r>
    </w:p>
    <w:p>
      <w:r>
        <w:t>Le recours - autant qu'il est intelligible - est également irrecevable en tant qu'il est dirigé à l'encontre des décisions relatives aux avances de frais. D'une part, le recourant n'expose pas en quoi lesdites décisions (incidentes) seraient de nature à lui causer un préjudice irréparable au sens de l' art. 93 al. 1 let. a LTF (</w:t>
      </w:r>
    </w:p>
    <w:p>
      <w:r>
        <w:t>cf . ATF 142 III 798 ). D'autre part, il ne dit pas en quoi les avances contestées auraient été fixées de manière arbitraire ( art. 106 al. 2 LTF , en lien avec l' art. 98 LTF ; ATF 135 III 232 consid. 1.2). Son argumentation s'appuie sur une "</w:t>
      </w:r>
    </w:p>
    <w:p>
      <w:r>
        <w:t>résolution de l'ONU sur la protection des invalides " - plus précisément: la Convention des Nations Unies du 13 décembre 2006 relative aux droits des personnes handicapées (RS 0.109) -, sans citer de norme particulière. Or, un tel moyen s'avère nouveau, partant irrecevable dans un recours fondé sur l' art. 98 LTF (arrêt 5A_880/2018 du 5 avril 2019 consid. 2.3, avec les citations). En outre, l'intéressé ne démontre aucunement le caractère "</w:t>
      </w:r>
    </w:p>
    <w:p>
      <w:r>
        <w:t>self-executing " de cet instrument international (</w:t>
      </w:r>
    </w:p>
    <w:p>
      <w:r>
        <w:t>cf . arrêt 2C_927/2017 du 29 octobre 2018 consid. 5.1 [destiné à la publication aux ATF]; sur cette exigence en général: ATF 140 II 185 consid. 4.2).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du recourant ( art. 66 al. 1 LTF ).</w:t>
      </w:r>
    </w:p>
    <w:p>
      <w:r>
        <w:t>Le recourant est avisé que toute nouvelle écriture du même style sera dorénavant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