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345/2019 vom 24. Juli 2019</w:t>
      </w:r>
    </w:p>
    <w:p>
      <w:r>
        <w:t>Bundesgericht, 2019-07-24, DE</w:t>
      </w:r>
    </w:p>
    <w:p>
      <w:r>
        <w:rPr>
          <w:b/>
        </w:rPr>
        <w:t xml:space="preserve">Quelle: </w:t>
      </w:r>
      <w:r>
        <w:t>https://mcp.opencaselaw.ch/entscheid/bger_5A_345_2019</w:t>
      </w:r>
    </w:p>
    <w:p>
      <w:r>
        <w:t>FR: TF 5A 345/2019 du 24 juillet 2019</w:t>
      </w:r>
    </w:p>
    <w:p>
      <w:r>
        <w:t>IT: TF 5A 345/2019 del 24 luglio 2019</w:t>
      </w:r>
    </w:p>
    <w:p>
      <w:pPr>
        <w:pStyle w:val="Heading2"/>
      </w:pPr>
      <w:r>
        <w:t>Regeste</w:t>
      </w:r>
    </w:p>
    <w:p>
      <w:r>
        <w:t>Antrag auf Beistandswechsel; Akteneinsichtsrecht | Familienrecht</w:t>
      </w:r>
    </w:p>
    <w:p>
      <w:pPr>
        <w:pStyle w:val="Heading2"/>
      </w:pPr>
      <w:r>
        <w:t>Erwägungen</w:t>
      </w:r>
    </w:p>
    <w:p>
      <w:r>
        <w:rPr>
          <w:b/>
        </w:rPr>
        <w:t>E. 1.1</w:t>
      </w:r>
    </w:p>
    <w:p>
      <w:r>
        <w:t>Ob eine Beschwerde zulässig ist, überprüft das Bundesgericht von Amtes wegen und mit freier Kognition ( BGE 145 V 57 E. 1 S. 59; 141 III 395 E. 2.1 S. 397).</w:t>
      </w:r>
    </w:p>
    <w:p>
      <w:r>
        <w:rPr>
          <w:b/>
        </w:rPr>
        <w:t>E. 1.2</w:t>
      </w:r>
    </w:p>
    <w:p>
      <w:r>
        <w:t>Die zur Beschwerde legitimierte Beschwerdeführerin ( Art. 76 Abs. 1 BGG ) wehrt sich fristgerecht ( Art. 100 Abs. 1 BGG ) gegen die Aufhebung des Urteils des Bezirksrates Zürich und Rückweisung des Prozesses an den Bezirksrat sowie gegen die Gutheissung des Antrages um Einsicht in die Akten der KESB. Angefochten ist entsprechend ein selbständig eröffneter Zwischenentscheid. Bei Zwischenentscheiden folgt der Rechtsweg jenem der Hauptsache ( BGE 137 III 380 E. 1.1 S. 382; 133 III 645 E. 2.2 S. 647). In der Hauptsache geht es um Erwachsenenschutzmassnahmen. Es handelt sich somit um einen öffentlich-rechtlichen Entscheid ohne Vermögenswert, der in unmittelbarem Zusammenhang mit dem Zivilrecht steht und gemäss Art. 72 Abs. 2 lit. b Ziff. 6 BGG der Beschwerde in Zivilsachen unterliegt.</w:t>
      </w:r>
    </w:p>
    <w:p>
      <w:r>
        <w:rPr>
          <w:b/>
        </w:rPr>
        <w:t>E. 1.3</w:t>
      </w:r>
    </w:p>
    <w:p>
      <w:r>
        <w:t>Gegen selbständig eröffnete Vor- und Zwischenentscheide, die weder die Zuständigkeit noch den Ausstand betreffen ( Art. 92 BGG ),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Anfechtung von Vor- und Zwischenentscheiden bildet eine Ausnahme vom Grundsatz, dass sich das Bundesgericht mit jeder Angelegenheit nur einmal befassen soll ( BGE 144 III 475 E. 1.2 S. 479; 142 III 798 E. 2.2 S. 801; 141 III 80 E. 1.2 S. 81). Sie wird restriktiv gehandhabt, können Vor- und Zwischenentscheide doch gemäss Art. 93 Abs. 3 BGG durch Beschwerde gegen den Endentscheid angefochten werden, soweit sie sich auf dessen Inhalt auswirken ( BGE 144 III 253 E. 1.3 S. 254 mit Hinweisen). Der drohende nicht wieder gutzumachende Nachteil im Sinne von Art. 93 Abs. 1 lit. a BGG muss rechtlicher Natur sein. Das setzt voraus, dass er sich auch mit einem späteren günstigen Endentscheid nicht oder nicht gänzlich beseitigen lässt ( BGE 144 III 475 E. 1.2 S. 479; 143 III 416 E. 1.3 S. 419; 141 III 80 E. 1.2 S. 80; je mit Hinweisen). Dagegen reichen rein tatsächliche Nachteile wie die Verfahrensverlängerung oder -verteuerung nicht aus ( BGE 144 III 475 E. 1.2 S. 479; 142 III 798 E. 2.2 S. 801; 138 III 190 E. 6 S. 192; je mit Hinweisen). Nach der Rechtsprechung obliegt es der Beschwerde führenden Partei darzutun, dass eine der beiden Voraussetzungen nach Art. 93 Abs. 1 BGG erfüllt ist ( BGE 141 III 80 E. 1.2 S. 81; 137 III 324 E. 1.1 S. 329 mit Hinweisen), es sei denn, deren Vorliegen springe geradezu in die Augen ( BGE 141 III 80 E. 1.2 S. 81; 138 III 46 E. 1.2 S. 47 mit Hinweisen). Die Beschwerdeführerin äussert sich mit keinem Wort zu dieser Eintretensvoraussetzung. Ein nicht wieder gutzumachender Nachteil ( Art. 93 Abs. 1 lit. a BGG ) springt auch nicht geradezu in die Augen, zumal der konkrete Umfang des Einsichtsrechts noch nicht definiert ist (vgl. auch Urteil 5A_371/2018 vom 31. Oktober 2018 E. 1.3). Dasselbe gilt für die Eintretensvoraussetzungen nach Art. 93 Abs. 1 lit. b BGG . Wohl könnte bei Verneinung der Beschwerdelegitimation nach Art. 450 Abs. 2 ZGB ein Endentscheid herbeigeführt werden; indes bleibt völlig offen, inwiefern damit ein bedeutender Aufwand an Zeit oder Kosten für ein weitläufiges Beweisverfahren erspart werden könnte. Demgemäss kann auf die Beschwerde nicht eingetreten werden.</w:t>
      </w:r>
    </w:p>
    <w:p>
      <w:r>
        <w:rPr>
          <w:b/>
        </w:rPr>
        <w:t>E. 2</w:t>
      </w:r>
    </w:p>
    <w:p>
      <w:r>
        <w:t>Bei diesem Verfahrensausgang hat die Beschwerdeführerin für die Gerichtskosten aufzukommen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